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jc w:val="center"/>
        <w:rPr>
          <w:rFonts w:hint="eastAsia" w:ascii="方正仿宋_GBK" w:hAnsi="方正仿宋_GBK" w:eastAsia="方正仿宋_GBK" w:cs="方正仿宋_GBK"/>
          <w:sz w:val="32"/>
          <w:szCs w:val="32"/>
        </w:rPr>
      </w:pPr>
    </w:p>
    <w:p>
      <w:pPr>
        <w:snapToGrid w:val="0"/>
        <w:jc w:val="center"/>
        <w:rPr>
          <w:rFonts w:hint="eastAsia" w:ascii="方正仿宋_GBK" w:hAnsi="方正仿宋_GBK" w:eastAsia="方正仿宋_GBK" w:cs="方正仿宋_GBK"/>
          <w:sz w:val="32"/>
          <w:szCs w:val="32"/>
        </w:rPr>
      </w:pPr>
    </w:p>
    <w:p>
      <w:pPr>
        <w:snapToGrid w:val="0"/>
        <w:jc w:val="center"/>
        <w:rPr>
          <w:rFonts w:hint="eastAsia" w:ascii="方正仿宋_GBK" w:hAnsi="方正仿宋_GBK" w:eastAsia="方正仿宋_GBK" w:cs="方正仿宋_GBK"/>
          <w:sz w:val="32"/>
          <w:szCs w:val="32"/>
        </w:rPr>
      </w:pPr>
    </w:p>
    <w:p>
      <w:pPr>
        <w:snapToGrid w:val="0"/>
        <w:jc w:val="center"/>
        <w:rPr>
          <w:rFonts w:hint="eastAsia" w:ascii="方正仿宋_GBK" w:hAnsi="方正仿宋_GBK" w:eastAsia="方正仿宋_GBK" w:cs="方正仿宋_GBK"/>
          <w:sz w:val="32"/>
          <w:szCs w:val="32"/>
        </w:rPr>
      </w:pPr>
    </w:p>
    <w:p>
      <w:pPr>
        <w:snapToGrid w:val="0"/>
        <w:jc w:val="center"/>
        <w:rPr>
          <w:rFonts w:hint="eastAsia" w:ascii="方正仿宋_GBK" w:hAnsi="方正仿宋_GBK" w:eastAsia="方正仿宋_GBK" w:cs="方正仿宋_GBK"/>
          <w:sz w:val="32"/>
          <w:szCs w:val="32"/>
        </w:rPr>
      </w:pPr>
    </w:p>
    <w:p>
      <w:pPr>
        <w:snapToGrid w:val="0"/>
        <w:jc w:val="center"/>
        <w:rPr>
          <w:rFonts w:hint="eastAsia" w:ascii="方正仿宋_GBK" w:hAnsi="方正仿宋_GBK" w:eastAsia="方正仿宋_GBK" w:cs="方正仿宋_GBK"/>
          <w:sz w:val="32"/>
          <w:szCs w:val="32"/>
        </w:rPr>
      </w:pPr>
    </w:p>
    <w:p>
      <w:pPr>
        <w:snapToGrid w:val="0"/>
        <w:jc w:val="center"/>
        <w:rPr>
          <w:rFonts w:hint="eastAsia" w:ascii="方正仿宋_GBK" w:hAnsi="方正仿宋_GBK" w:eastAsia="方正仿宋_GBK" w:cs="方正仿宋_GBK"/>
          <w:sz w:val="32"/>
          <w:szCs w:val="32"/>
        </w:rPr>
      </w:pPr>
    </w:p>
    <w:p>
      <w:pPr>
        <w:snapToGrid w:val="0"/>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before="65" w:beforeLines="20" w:line="240" w:lineRule="auto"/>
        <w:ind w:left="0" w:leftChars="0" w:right="0" w:rightChars="0" w:firstLine="0" w:firstLineChars="0"/>
        <w:jc w:val="center"/>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药大教〔2016〕122号</w:t>
      </w:r>
    </w:p>
    <w:p>
      <w:pPr>
        <w:snapToGrid w:val="0"/>
        <w:jc w:val="center"/>
        <w:rPr>
          <w:rFonts w:ascii="方正仿宋_GBK" w:hAnsi="方正仿宋_GBK" w:eastAsia="方正仿宋_GBK" w:cs="方正仿宋_GBK"/>
          <w:sz w:val="32"/>
          <w:szCs w:val="32"/>
        </w:rPr>
      </w:pPr>
    </w:p>
    <w:p>
      <w:pPr>
        <w:snapToGrid w:val="0"/>
        <w:jc w:val="center"/>
        <w:rPr>
          <w:rFonts w:ascii="方正仿宋_GBK" w:hAnsi="方正仿宋_GBK" w:eastAsia="方正仿宋_GBK" w:cs="方正仿宋_GBK"/>
          <w:bCs/>
          <w:sz w:val="32"/>
          <w:szCs w:val="32"/>
        </w:rPr>
      </w:pPr>
    </w:p>
    <w:p>
      <w:pPr>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关于印发《中国药科大学开展“本科教学</w:t>
      </w:r>
    </w:p>
    <w:p>
      <w:pPr>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工作审核评估”评建工作方案》的通知</w:t>
      </w:r>
    </w:p>
    <w:p>
      <w:pPr>
        <w:snapToGrid w:val="0"/>
        <w:spacing w:line="560" w:lineRule="exact"/>
        <w:rPr>
          <w:rFonts w:ascii="方正仿宋_GBK" w:hAnsi="方正仿宋_GBK" w:eastAsia="方正仿宋_GBK" w:cs="方正仿宋_GBK"/>
          <w:sz w:val="32"/>
          <w:szCs w:val="32"/>
        </w:rPr>
      </w:pPr>
    </w:p>
    <w:p>
      <w:pPr>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各有关部门：</w:t>
      </w:r>
    </w:p>
    <w:p>
      <w:pPr>
        <w:snapToGrid w:val="0"/>
        <w:spacing w:line="6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教育部《普通高等学校本科教学工作审核评估方案》（教高〔2013〕10号）文件精神，学校将全面开展迎接“本科教学工作审核评估”的建设工作，现印发《中国药科大学开展“本科教学工作审核评估”评建工作方案》至各单位，请遵照执行。</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 中国药科大学开展“本科教学工作审核评估”评建工</w:t>
      </w:r>
    </w:p>
    <w:p>
      <w:pPr>
        <w:spacing w:line="600" w:lineRule="exact"/>
        <w:ind w:firstLine="640" w:firstLineChars="200"/>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 xml:space="preserve">      作方案</w:t>
      </w:r>
    </w:p>
    <w:p>
      <w:pPr>
        <w:tabs>
          <w:tab w:val="left" w:pos="7655"/>
          <w:tab w:val="left" w:pos="7797"/>
        </w:tabs>
        <w:spacing w:line="560" w:lineRule="exact"/>
        <w:ind w:firstLine="600" w:firstLineChars="200"/>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（此页无正文）</w:t>
      </w:r>
    </w:p>
    <w:p>
      <w:pPr>
        <w:tabs>
          <w:tab w:val="left" w:pos="7655"/>
          <w:tab w:val="left" w:pos="7797"/>
        </w:tabs>
        <w:spacing w:line="560" w:lineRule="exact"/>
        <w:ind w:firstLine="600" w:firstLineChars="200"/>
        <w:rPr>
          <w:rFonts w:ascii="方正仿宋_GBK" w:hAnsi="方正仿宋_GBK" w:eastAsia="方正仿宋_GBK" w:cs="方正仿宋_GBK"/>
          <w:spacing w:val="-10"/>
          <w:sz w:val="32"/>
          <w:szCs w:val="32"/>
        </w:rPr>
      </w:pPr>
    </w:p>
    <w:p>
      <w:pPr>
        <w:tabs>
          <w:tab w:val="left" w:pos="7655"/>
          <w:tab w:val="left" w:pos="7797"/>
        </w:tabs>
        <w:spacing w:line="560" w:lineRule="exact"/>
        <w:ind w:firstLine="600" w:firstLineChars="200"/>
        <w:rPr>
          <w:rFonts w:ascii="方正仿宋_GBK" w:hAnsi="方正仿宋_GBK" w:eastAsia="方正仿宋_GBK" w:cs="方正仿宋_GBK"/>
          <w:spacing w:val="-10"/>
          <w:sz w:val="32"/>
          <w:szCs w:val="32"/>
        </w:rPr>
      </w:pPr>
    </w:p>
    <w:p>
      <w:pPr>
        <w:tabs>
          <w:tab w:val="left" w:pos="7655"/>
          <w:tab w:val="left" w:pos="7797"/>
        </w:tabs>
        <w:spacing w:line="560" w:lineRule="exact"/>
        <w:ind w:firstLine="600" w:firstLineChars="200"/>
        <w:rPr>
          <w:rFonts w:ascii="方正仿宋_GBK" w:hAnsi="方正仿宋_GBK" w:eastAsia="方正仿宋_GBK" w:cs="方正仿宋_GBK"/>
          <w:spacing w:val="-10"/>
          <w:sz w:val="32"/>
          <w:szCs w:val="32"/>
        </w:rPr>
      </w:pPr>
    </w:p>
    <w:p>
      <w:pPr>
        <w:tabs>
          <w:tab w:val="left" w:pos="7655"/>
          <w:tab w:val="left" w:pos="7797"/>
        </w:tabs>
        <w:spacing w:line="560" w:lineRule="exact"/>
        <w:ind w:firstLine="600" w:firstLineChars="200"/>
        <w:jc w:val="center"/>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 xml:space="preserve">                         中国药科大学</w:t>
      </w:r>
    </w:p>
    <w:p>
      <w:pPr>
        <w:pStyle w:val="12"/>
        <w:spacing w:before="0" w:after="0" w:line="560" w:lineRule="exact"/>
        <w:ind w:firstLine="5415" w:firstLineChars="1805"/>
        <w:jc w:val="both"/>
        <w:rPr>
          <w:rFonts w:ascii="方正黑体_GBK" w:hAnsi="方正黑体_GBK" w:eastAsia="方正黑体_GBK" w:cs="方正黑体_GBK"/>
          <w:b w:val="0"/>
          <w:bCs w:val="0"/>
        </w:rPr>
      </w:pPr>
      <w:r>
        <w:rPr>
          <w:rFonts w:hint="eastAsia" w:ascii="方正仿宋_GBK" w:hAnsi="方正仿宋_GBK" w:eastAsia="方正仿宋_GBK" w:cs="方正仿宋_GBK"/>
          <w:b w:val="0"/>
          <w:spacing w:val="-10"/>
        </w:rPr>
        <w:t>2016年4月</w:t>
      </w:r>
      <w:r>
        <w:rPr>
          <w:rFonts w:hint="eastAsia" w:ascii="方正仿宋_GBK" w:hAnsi="方正仿宋_GBK" w:eastAsia="方正仿宋_GBK" w:cs="方正仿宋_GBK"/>
          <w:b w:val="0"/>
          <w:spacing w:val="-10"/>
          <w:lang w:val="en-US" w:eastAsia="zh-CN"/>
        </w:rPr>
        <w:t>2</w:t>
      </w:r>
      <w:r>
        <w:rPr>
          <w:rFonts w:hint="eastAsia" w:ascii="方正仿宋_GBK" w:hAnsi="方正仿宋_GBK" w:eastAsia="方正仿宋_GBK" w:cs="方正仿宋_GBK"/>
          <w:b w:val="0"/>
          <w:spacing w:val="-10"/>
        </w:rPr>
        <w:t>0日</w:t>
      </w:r>
      <w:r>
        <w:br w:type="page"/>
      </w:r>
      <w:r>
        <w:rPr>
          <w:rFonts w:hint="eastAsia" w:ascii="方正黑体_GBK" w:hAnsi="方正黑体_GBK" w:eastAsia="方正黑体_GBK" w:cs="方正黑体_GBK"/>
          <w:b w:val="0"/>
          <w:bCs w:val="0"/>
        </w:rPr>
        <w:t>附件</w:t>
      </w:r>
    </w:p>
    <w:p>
      <w:pPr/>
    </w:p>
    <w:p>
      <w:pPr>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中国药科大学开展“本科教学工作审核评估”评建工作方案</w:t>
      </w:r>
    </w:p>
    <w:p>
      <w:pPr>
        <w:spacing w:line="500" w:lineRule="exact"/>
        <w:ind w:firstLine="560" w:firstLineChars="200"/>
        <w:rPr>
          <w:rFonts w:ascii="黑体" w:hAnsi="黑体" w:eastAsia="黑体" w:cs="宋体"/>
          <w:bCs/>
          <w:color w:val="000000"/>
          <w:kern w:val="0"/>
          <w:sz w:val="28"/>
          <w:szCs w:val="28"/>
        </w:rPr>
      </w:pPr>
    </w:p>
    <w:p>
      <w:pPr>
        <w:spacing w:line="560" w:lineRule="exact"/>
        <w:ind w:firstLine="640" w:firstLineChars="200"/>
        <w:rPr>
          <w:rFonts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一、指导思想</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教育部《关于全面提高高等教育质量的若干意见》（教高〔2012〕4号）和《普通高等学校本科教学工作审核评估方案》（教高〔2013〕10号）为依据，以学校第九次党代会所提出的战略发展目标为指导，全面贯彻“以评促建，以评促改，以评促管，评建结合，重在建设”的评估原则，牢固树立本科教学的中心地位，加强内涵建设，突出特色发展，强化质量保障，推动学校人才培养质量不断提高。</w:t>
      </w:r>
      <w:bookmarkStart w:id="0" w:name="_GoBack"/>
      <w:bookmarkEnd w:id="0"/>
    </w:p>
    <w:p>
      <w:pPr>
        <w:spacing w:line="560" w:lineRule="exact"/>
        <w:ind w:firstLine="640" w:firstLineChars="200"/>
        <w:rPr>
          <w:rFonts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二、组织领导</w:t>
      </w:r>
    </w:p>
    <w:p>
      <w:pPr>
        <w:spacing w:line="56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sz w:val="32"/>
          <w:szCs w:val="32"/>
        </w:rPr>
        <w:t>根据《关于成立中国药科大学“本科教学工作审核评估”评建工作领导小组的通知》（药大教〔2016〕68号），为加强评建工作的组织领导，落实评建工作领导小组各项工作部署，决定在评建工作办公室下设协调与保障组、材料与宣传组、数据与信息组等专项工作组，负责专项工作的计划制订和组织实施。</w:t>
      </w:r>
    </w:p>
    <w:p>
      <w:pPr>
        <w:spacing w:line="560" w:lineRule="exact"/>
        <w:ind w:firstLine="627"/>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（一）协调与保障组</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长：冯锋</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副组长：赵健（社科部）、张杨彬、徐玉云、林生</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秘  书：陈欣、张志强</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根据评估指标体系和评建工作需要，制定相关建设计划，组织开展教学保障条件建设、学风建设、教师队伍建设、专业建设、课程资源建设、教学信息化建设等工作。负责建设项目的管理、检查验收和评估。统筹协调评建工作中的各项任务以及专家入校考察的接待安排。</w:t>
      </w:r>
    </w:p>
    <w:p>
      <w:pPr>
        <w:spacing w:line="560" w:lineRule="exact"/>
        <w:ind w:firstLine="627"/>
        <w:jc w:val="left"/>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（二）材料与宣传组</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长：王欣然</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副组长：许书宏、杨庆、张永泽、曹昕平</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秘  书：胡巍、董晓曦</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工作职责：总结学校本科教学工作，凝练办学特色，全面负责起草评建工作相关文件，撰写、提交《自评报告》，制定整改方案，组织教学文档建设，收集整理评建支撑材料，组织评建工作宣传动员。</w:t>
      </w:r>
    </w:p>
    <w:p>
      <w:pPr>
        <w:spacing w:line="560" w:lineRule="exact"/>
        <w:ind w:firstLine="627"/>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（三）数据与信息组</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长：樊陈琳</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副组长：韩守兴、王傲珩、吴葵红、刘剑锋</w:t>
      </w:r>
    </w:p>
    <w:p>
      <w:pPr>
        <w:spacing w:line="560" w:lineRule="exact"/>
        <w:ind w:firstLine="627"/>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秘  书：陆冷飞、常国芳</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负责教学管理信息化、校本科教学状态数据库的建设，完成学校《教学基本状态数据分析报告》的撰写；本科教学基础数据的调研和分析工作；结合自评报告，及时分析数据，提出整改建议；填报全国高校教学基本状态数据库、教育部评估管理信息系统。</w:t>
      </w:r>
    </w:p>
    <w:p>
      <w:pPr>
        <w:spacing w:line="560" w:lineRule="exact"/>
        <w:ind w:firstLine="640" w:firstLineChars="200"/>
        <w:rPr>
          <w:rFonts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三、评建工作阶段性任务</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第一阶段：构建机构与宣传动员（2016年3月～5月）</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2016年3月，成立评建组织机构，研究制订我校评建工作方案，分解工作任务。</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2016年4月，组织全校迎评动员大会，查找评建工作中的弱点难点。组织评建工作办公室主要人员参加调研和专题培训。</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2016年4月-5月，组织开展全校教育思想大讨论，总结凝练并全面宣传学校办学理念和人才培养目标。</w:t>
      </w:r>
    </w:p>
    <w:p>
      <w:pPr>
        <w:spacing w:line="560" w:lineRule="exact"/>
        <w:ind w:firstLine="640" w:firstLineChars="200"/>
        <w:jc w:val="left"/>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sz w:val="32"/>
          <w:szCs w:val="32"/>
        </w:rPr>
        <w:t>第二阶段：</w:t>
      </w:r>
      <w:r>
        <w:rPr>
          <w:rFonts w:hint="eastAsia" w:ascii="方正楷体_GBK" w:hAnsi="方正楷体_GBK" w:eastAsia="方正楷体_GBK" w:cs="方正楷体_GBK"/>
          <w:color w:val="000000"/>
          <w:kern w:val="0"/>
          <w:sz w:val="32"/>
          <w:szCs w:val="32"/>
        </w:rPr>
        <w:t>自评与建设（2016年3月～12月）</w:t>
      </w:r>
    </w:p>
    <w:p>
      <w:pPr>
        <w:spacing w:line="560" w:lineRule="exact"/>
        <w:ind w:firstLine="643"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1.教学状态数据库建设</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2016年3月，部署教学基本状态信息库，完成运行测试。</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2016年4月，确定各单位数据填报的责任人和录入人员，组织数据采集培训。</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2016年5月-7月，各单位完成2014、2015年度的数据采集。</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2016年11月，各单位完成2016年度的数据采集。</w:t>
      </w:r>
    </w:p>
    <w:p>
      <w:pPr>
        <w:spacing w:line="560" w:lineRule="exact"/>
        <w:ind w:firstLine="643"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 二级学院完成评建工作</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2016年4月，各学院制订本单位评建方案。</w:t>
      </w:r>
    </w:p>
    <w:p>
      <w:pPr>
        <w:spacing w:line="560" w:lineRule="exact"/>
        <w:ind w:firstLine="640" w:firstLineChars="200"/>
        <w:jc w:val="left"/>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sz w:val="32"/>
          <w:szCs w:val="32"/>
        </w:rPr>
        <w:t>2016年5月-8月，各学院梳理本单位教学过程管理和人才培养成果，制订各专业《本科专业教学质量校级标准》，协助学校做好教学基本状态数据采集工作</w:t>
      </w:r>
      <w:r>
        <w:rPr>
          <w:rFonts w:hint="eastAsia" w:ascii="方正仿宋_GBK" w:hAnsi="方正仿宋_GBK" w:eastAsia="方正仿宋_GBK" w:cs="方正仿宋_GBK"/>
          <w:bCs/>
          <w:color w:val="000000"/>
          <w:kern w:val="0"/>
          <w:sz w:val="32"/>
          <w:szCs w:val="32"/>
        </w:rPr>
        <w:t>。</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2016年6月和10月，学校开展教学大纲、教学日历、教案、试卷、实验报告、毕业论文等教学文档专项检查。</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2017年1月前，中药学、制药工程专业参加教指委组织的专业认证，临床药学、药物制剂、生物制药、药事管理、英语、信息管理与信息系统专业完成专业评估。</w:t>
      </w:r>
    </w:p>
    <w:p>
      <w:pPr>
        <w:spacing w:line="560" w:lineRule="exact"/>
        <w:ind w:firstLine="643"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3.校内教学质量保障体系建设</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2016年3月，全面整理各项教学规章制度。</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2016年4月-7月，完善教学管理制度和教学质量保障体系，严肃教学纪律，规范教学行为。</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3月-11月，开展教学质量评价、在校生培养全程跟踪评价、教师发展评价、毕业生中期职业发展评价、用人单位评价，形成分析报告，向有关职能部门反馈调研结果，形成改进措施。对理科基地、生命科学基地毕业生情况进行跟踪调研。</w:t>
      </w:r>
    </w:p>
    <w:p>
      <w:pPr>
        <w:spacing w:line="560" w:lineRule="exact"/>
        <w:ind w:firstLine="643" w:firstLineChars="200"/>
        <w:jc w:val="left"/>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
          <w:sz w:val="32"/>
          <w:szCs w:val="32"/>
        </w:rPr>
        <w:t>4.学风建设</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2016年2月起，开展校院两级“学风建设年”活动。通过“课程教学改革”、“学业考核评价”、 “教师课堂管理”、“学业支持”和“学生管理”等途径，从“教-学-考-管”各方面入手，全面整顿学风，营造“人心向学”的优良学风面貌。</w:t>
      </w:r>
    </w:p>
    <w:p>
      <w:pPr>
        <w:spacing w:line="560" w:lineRule="exact"/>
        <w:ind w:firstLine="643"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5.自评报告撰写和支撑材料准备</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2016年5月，明确学校的办学定位、办学理念、发展目标和办学特色等。确定支撑材料目录。</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2016年6月，根据教学状态数据分析报告，总结存在问题提出整改方案。</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2016年9月，各牵头单位提供《自评报告》相关内容和支撑材料。</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2016年10月，形成《自评报告》初稿和《2015年度本科教学质量报告》，并征求意见。</w:t>
      </w:r>
    </w:p>
    <w:p>
      <w:pPr>
        <w:spacing w:line="560" w:lineRule="exact"/>
        <w:ind w:firstLine="640" w:firstLineChars="200"/>
        <w:jc w:val="left"/>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第三阶段：评建整改 (2016年9月～2017年1月)</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2016年9月起，每月对校院二级评建方案执行情况进行专项检查，制订整改措施，加快整改建设。</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2016年12月，组织校外专家对评建材料和评建准备工作进行自评，各院部系和相关职能部门基本完成本年度评建工作任务。</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2017年1月，对校外专家提出的评建工作问题，各牵头部门提出针对性改进方案。</w:t>
      </w:r>
    </w:p>
    <w:p>
      <w:pPr>
        <w:spacing w:line="560" w:lineRule="exact"/>
        <w:ind w:firstLine="640" w:firstLineChars="200"/>
        <w:jc w:val="left"/>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第四阶段：专家现场考察准备（2017年2月-4月）</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2017年2月，填报全国高校教学基本状态数据库。</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2017年3月，审定提交自评报告，准备专家案头材料，填报教育部评估管理信息系统。完成支撑材料汇编，并提交电子目录。</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2017年4月，做好教育部专家组进校考察的日程安排。</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2017年4月9日-15日，迎接专家入校考察。</w:t>
      </w:r>
    </w:p>
    <w:p>
      <w:pPr>
        <w:spacing w:line="560" w:lineRule="exact"/>
        <w:ind w:firstLine="640" w:firstLineChars="200"/>
        <w:jc w:val="left"/>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第五阶段：评估后整改（2017年5月-12月）</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2017年5月15日前，认真整理、分析专家的反馈意见和建议，针对存在的问题和不足，形成整改方案上报教育部。</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 5月-12月，相关职能部门和二级学院根据整改方案落实具体举措。</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2017年12月，检查相关职能部门和二级学院整改落实效果。</w:t>
      </w:r>
    </w:p>
    <w:p>
      <w:pPr>
        <w:spacing w:line="560" w:lineRule="exact"/>
        <w:ind w:firstLine="640" w:firstLineChars="200"/>
        <w:rPr>
          <w:rFonts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四、工作要求</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（一)“审核评估”是学校认真查找问题，促进本科教学发展的一次难得机遇。全体教职员工必须充分认识评估工作的意义和作用，深刻理解评估内涵，以开放的心胸，学习的态度全力投入评估建设工作中。</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（二）评估建设工作涉及面广，内容繁杂。各部门单位要围绕评估指标，对照评估标准，结合日常工作提出切实可行的评建方案，确保建设工作有的放矢，确保数据准确、材料完备。</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（三）评估建设工作关联性强，需要各个环节的良性联动，方能确保审核评估的顺畅、有效。各部门单位要从学校大局出发，尽职尽责，相互协作，互相支持。</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（四）学校将建立“一把手责任制”，将评建工作绩效纳入各单位的年度考核指标之中，确立时间节点，提升考量比重，表彰在评建工作中表现突出的单位和个人，以督促各责任单位保质保量完成工作任务。</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部门单位要正确把握评估工作和学校内涵发展的关系，以评建工作为契机，真抓实干，练好内功，建立长效运行机制，建立教学质量保障机制，建立不断完善的改进机制，促进学校人才培养质量不断提高。</w:t>
      </w:r>
    </w:p>
    <w:p>
      <w:pPr>
        <w:spacing w:line="560" w:lineRule="exact"/>
        <w:ind w:firstLine="640" w:firstLineChars="200"/>
        <w:rPr>
          <w:rFonts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五、任务分解表</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根据“审核评估”范围和内容，将评建工作任务进行分解，分别由相关部门负责建设方案的制定、数据的填报、支撑材料的收集和整理，并提供分项自评报告。具体内容见下表：</w:t>
      </w:r>
    </w:p>
    <w:p>
      <w:pPr>
        <w:widowControl/>
        <w:spacing w:line="500" w:lineRule="exact"/>
        <w:ind w:firstLine="560" w:firstLineChars="200"/>
        <w:jc w:val="left"/>
        <w:rPr>
          <w:rFonts w:ascii="仿宋_GB2312" w:eastAsia="仿宋_GB2312"/>
          <w:sz w:val="28"/>
          <w:szCs w:val="28"/>
        </w:rPr>
      </w:pPr>
    </w:p>
    <w:tbl>
      <w:tblPr>
        <w:tblStyle w:val="16"/>
        <w:tblW w:w="9942" w:type="dxa"/>
        <w:jc w:val="center"/>
        <w:tblInd w:w="-1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862"/>
        <w:gridCol w:w="3953"/>
        <w:gridCol w:w="1101"/>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blHeader/>
          <w:jc w:val="center"/>
        </w:trPr>
        <w:tc>
          <w:tcPr>
            <w:tcW w:w="1582" w:type="dxa"/>
            <w:shd w:val="clear" w:color="auto" w:fill="auto"/>
            <w:vAlign w:val="center"/>
          </w:tcPr>
          <w:p>
            <w:pPr>
              <w:adjustRightInd w:val="0"/>
              <w:snapToGrid w:val="0"/>
              <w:jc w:val="center"/>
              <w:rPr>
                <w:rFonts w:ascii="宋体" w:cs="宋体"/>
                <w:b/>
                <w:bCs/>
                <w:kern w:val="0"/>
                <w:sz w:val="20"/>
                <w:szCs w:val="20"/>
              </w:rPr>
            </w:pPr>
            <w:r>
              <w:rPr>
                <w:rFonts w:hint="eastAsia" w:ascii="宋体" w:hAnsi="宋体" w:cs="宋体"/>
                <w:b/>
                <w:bCs/>
                <w:kern w:val="0"/>
                <w:sz w:val="20"/>
                <w:szCs w:val="20"/>
              </w:rPr>
              <w:t>审核项目</w:t>
            </w:r>
          </w:p>
        </w:tc>
        <w:tc>
          <w:tcPr>
            <w:tcW w:w="1862" w:type="dxa"/>
            <w:shd w:val="clear" w:color="auto" w:fill="auto"/>
            <w:vAlign w:val="center"/>
          </w:tcPr>
          <w:p>
            <w:pPr>
              <w:adjustRightInd w:val="0"/>
              <w:snapToGrid w:val="0"/>
              <w:jc w:val="center"/>
              <w:rPr>
                <w:rFonts w:ascii="宋体" w:cs="宋体"/>
                <w:b/>
                <w:bCs/>
                <w:kern w:val="0"/>
                <w:sz w:val="20"/>
                <w:szCs w:val="20"/>
              </w:rPr>
            </w:pPr>
            <w:r>
              <w:rPr>
                <w:rFonts w:hint="eastAsia" w:ascii="宋体" w:hAnsi="宋体" w:cs="宋体"/>
                <w:b/>
                <w:bCs/>
                <w:kern w:val="0"/>
                <w:sz w:val="20"/>
                <w:szCs w:val="20"/>
              </w:rPr>
              <w:t>审核要素</w:t>
            </w:r>
          </w:p>
        </w:tc>
        <w:tc>
          <w:tcPr>
            <w:tcW w:w="3953" w:type="dxa"/>
            <w:shd w:val="clear" w:color="auto" w:fill="auto"/>
            <w:vAlign w:val="center"/>
          </w:tcPr>
          <w:p>
            <w:pPr>
              <w:adjustRightInd w:val="0"/>
              <w:snapToGrid w:val="0"/>
              <w:jc w:val="center"/>
              <w:rPr>
                <w:rFonts w:ascii="宋体" w:cs="宋体"/>
                <w:b/>
                <w:bCs/>
                <w:kern w:val="0"/>
                <w:sz w:val="20"/>
                <w:szCs w:val="20"/>
              </w:rPr>
            </w:pPr>
            <w:r>
              <w:rPr>
                <w:rFonts w:hint="eastAsia" w:ascii="宋体" w:hAnsi="宋体" w:cs="宋体"/>
                <w:b/>
                <w:bCs/>
                <w:kern w:val="0"/>
                <w:sz w:val="20"/>
                <w:szCs w:val="20"/>
              </w:rPr>
              <w:t>审核要点</w:t>
            </w:r>
          </w:p>
        </w:tc>
        <w:tc>
          <w:tcPr>
            <w:tcW w:w="1101" w:type="dxa"/>
            <w:shd w:val="clear" w:color="auto" w:fill="auto"/>
            <w:vAlign w:val="center"/>
          </w:tcPr>
          <w:p>
            <w:pPr>
              <w:widowControl/>
              <w:adjustRightInd w:val="0"/>
              <w:snapToGrid w:val="0"/>
              <w:jc w:val="center"/>
              <w:rPr>
                <w:rFonts w:ascii="宋体" w:cs="宋体"/>
                <w:b/>
                <w:bCs/>
                <w:kern w:val="0"/>
                <w:sz w:val="20"/>
                <w:szCs w:val="20"/>
              </w:rPr>
            </w:pPr>
            <w:r>
              <w:rPr>
                <w:rFonts w:hint="eastAsia" w:ascii="宋体" w:hAnsi="宋体" w:cs="宋体"/>
                <w:b/>
                <w:bCs/>
                <w:kern w:val="0"/>
                <w:sz w:val="20"/>
                <w:szCs w:val="20"/>
              </w:rPr>
              <w:t>牵头单位</w:t>
            </w:r>
          </w:p>
        </w:tc>
        <w:tc>
          <w:tcPr>
            <w:tcW w:w="1444" w:type="dxa"/>
            <w:shd w:val="clear" w:color="auto" w:fill="auto"/>
            <w:vAlign w:val="center"/>
          </w:tcPr>
          <w:p>
            <w:pPr>
              <w:widowControl/>
              <w:adjustRightInd w:val="0"/>
              <w:snapToGrid w:val="0"/>
              <w:jc w:val="center"/>
              <w:rPr>
                <w:rFonts w:ascii="宋体" w:cs="宋体"/>
                <w:b/>
                <w:bCs/>
                <w:kern w:val="0"/>
                <w:sz w:val="20"/>
                <w:szCs w:val="20"/>
              </w:rPr>
            </w:pPr>
            <w:r>
              <w:rPr>
                <w:rFonts w:hint="eastAsia" w:ascii="宋体" w:hAnsi="宋体" w:cs="宋体"/>
                <w:b/>
                <w:bCs/>
                <w:kern w:val="0"/>
                <w:sz w:val="20"/>
                <w:szCs w:val="20"/>
              </w:rPr>
              <w:t>配合</w:t>
            </w:r>
          </w:p>
          <w:p>
            <w:pPr>
              <w:widowControl/>
              <w:adjustRightInd w:val="0"/>
              <w:snapToGrid w:val="0"/>
              <w:jc w:val="center"/>
              <w:rPr>
                <w:rFonts w:ascii="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582" w:type="dxa"/>
            <w:vMerge w:val="restart"/>
            <w:shd w:val="clear" w:color="auto" w:fill="auto"/>
            <w:vAlign w:val="center"/>
          </w:tcPr>
          <w:p>
            <w:pP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定位与目标</w:t>
            </w:r>
          </w:p>
        </w:tc>
        <w:tc>
          <w:tcPr>
            <w:tcW w:w="1862" w:type="dxa"/>
            <w:shd w:val="clear" w:color="auto" w:fill="auto"/>
            <w:vAlign w:val="center"/>
          </w:tcPr>
          <w:p>
            <w:pPr>
              <w:widowControl/>
              <w:jc w:val="left"/>
              <w:rPr>
                <w:rFonts w:ascii="宋体" w:cs="宋体"/>
                <w:kern w:val="0"/>
                <w:sz w:val="20"/>
                <w:szCs w:val="20"/>
              </w:rPr>
            </w:pPr>
            <w:r>
              <w:rPr>
                <w:rFonts w:ascii="宋体" w:hAnsi="宋体" w:cs="宋体"/>
                <w:kern w:val="0"/>
                <w:sz w:val="20"/>
                <w:szCs w:val="20"/>
              </w:rPr>
              <w:t>1.1</w:t>
            </w:r>
            <w:r>
              <w:rPr>
                <w:rFonts w:hint="eastAsia" w:ascii="宋体" w:hAnsi="宋体" w:cs="宋体"/>
                <w:kern w:val="0"/>
                <w:sz w:val="20"/>
                <w:szCs w:val="20"/>
              </w:rPr>
              <w:t>办学定位</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）学校办学定位及确定依据</w:t>
            </w:r>
          </w:p>
          <w:p>
            <w:pPr>
              <w:widowControl/>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）办学定位在学校发展规划中的体现</w:t>
            </w:r>
          </w:p>
        </w:tc>
        <w:tc>
          <w:tcPr>
            <w:tcW w:w="1101" w:type="dxa"/>
            <w:vMerge w:val="restart"/>
            <w:shd w:val="clear" w:color="auto" w:fill="auto"/>
            <w:vAlign w:val="center"/>
          </w:tcPr>
          <w:p>
            <w:pPr>
              <w:jc w:val="center"/>
              <w:rPr>
                <w:rFonts w:ascii="宋体" w:cs="宋体"/>
                <w:kern w:val="0"/>
                <w:sz w:val="20"/>
                <w:szCs w:val="20"/>
              </w:rPr>
            </w:pPr>
            <w:r>
              <w:rPr>
                <w:rFonts w:hint="eastAsia" w:ascii="宋体" w:hAnsi="宋体" w:cs="宋体"/>
                <w:kern w:val="0"/>
                <w:sz w:val="20"/>
                <w:szCs w:val="20"/>
              </w:rPr>
              <w:t>综合改革办公室</w:t>
            </w:r>
          </w:p>
        </w:tc>
        <w:tc>
          <w:tcPr>
            <w:tcW w:w="1444"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党办</w:t>
            </w:r>
          </w:p>
          <w:p>
            <w:pPr>
              <w:widowControl/>
              <w:jc w:val="center"/>
              <w:rPr>
                <w:rFonts w:ascii="宋体" w:hAnsi="宋体" w:cs="宋体"/>
                <w:kern w:val="0"/>
                <w:sz w:val="20"/>
                <w:szCs w:val="20"/>
              </w:rPr>
            </w:pPr>
            <w:r>
              <w:rPr>
                <w:rFonts w:hint="eastAsia" w:ascii="宋体" w:hAnsi="宋体" w:cs="宋体"/>
                <w:kern w:val="0"/>
                <w:sz w:val="20"/>
                <w:szCs w:val="20"/>
              </w:rPr>
              <w:t>校办</w:t>
            </w:r>
          </w:p>
          <w:p>
            <w:pPr>
              <w:widowControl/>
              <w:jc w:val="center"/>
              <w:rPr>
                <w:rFonts w:ascii="宋体" w:cs="宋体"/>
                <w:kern w:val="0"/>
                <w:sz w:val="20"/>
                <w:szCs w:val="20"/>
              </w:rPr>
            </w:pPr>
            <w:r>
              <w:rPr>
                <w:rFonts w:hint="eastAsia" w:ascii="宋体" w:hAnsi="宋体" w:cs="宋体"/>
                <w:kern w:val="0"/>
                <w:sz w:val="20"/>
                <w:szCs w:val="20"/>
              </w:rPr>
              <w:t>教务处</w:t>
            </w:r>
          </w:p>
          <w:p>
            <w:pPr>
              <w:widowControl/>
              <w:jc w:val="center"/>
              <w:rPr>
                <w:rFonts w:ascii="宋体" w:cs="宋体"/>
                <w:kern w:val="0"/>
                <w:sz w:val="20"/>
                <w:szCs w:val="20"/>
              </w:rPr>
            </w:pPr>
            <w:r>
              <w:rPr>
                <w:rFonts w:hint="eastAsia" w:ascii="宋体" w:hAns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582" w:type="dxa"/>
            <w:vMerge w:val="continue"/>
            <w:shd w:val="clear" w:color="auto" w:fill="auto"/>
          </w:tcPr>
          <w:p>
            <w:pPr>
              <w:jc w:val="center"/>
              <w:rPr>
                <w:rFonts w:ascii="宋体"/>
                <w:sz w:val="20"/>
                <w:szCs w:val="20"/>
              </w:rPr>
            </w:pPr>
          </w:p>
        </w:tc>
        <w:tc>
          <w:tcPr>
            <w:tcW w:w="1862" w:type="dxa"/>
            <w:shd w:val="clear" w:color="auto" w:fill="auto"/>
            <w:vAlign w:val="center"/>
          </w:tcPr>
          <w:p>
            <w:pPr>
              <w:widowControl/>
              <w:jc w:val="left"/>
              <w:rPr>
                <w:rFonts w:ascii="宋体" w:cs="宋体"/>
                <w:kern w:val="0"/>
                <w:sz w:val="20"/>
                <w:szCs w:val="20"/>
              </w:rPr>
            </w:pPr>
            <w:r>
              <w:rPr>
                <w:rFonts w:ascii="宋体" w:hAnsi="宋体" w:cs="宋体"/>
                <w:kern w:val="0"/>
                <w:sz w:val="20"/>
                <w:szCs w:val="20"/>
              </w:rPr>
              <w:t>1.2</w:t>
            </w:r>
            <w:r>
              <w:rPr>
                <w:rFonts w:hint="eastAsia" w:ascii="宋体" w:hAnsi="宋体" w:cs="宋体"/>
                <w:kern w:val="0"/>
                <w:sz w:val="20"/>
                <w:szCs w:val="20"/>
              </w:rPr>
              <w:t>培养目标</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）学校人才培养总目标及确定依据</w:t>
            </w:r>
          </w:p>
          <w:p>
            <w:pPr>
              <w:widowControl/>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）专业培养目标、标准及确定依据</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continue"/>
            <w:shd w:val="clear" w:color="auto" w:fill="auto"/>
            <w:vAlign w:val="center"/>
          </w:tcPr>
          <w:p>
            <w:pPr>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1582" w:type="dxa"/>
            <w:vMerge w:val="continue"/>
            <w:shd w:val="clear" w:color="auto" w:fill="auto"/>
          </w:tcPr>
          <w:p>
            <w:pPr>
              <w:jc w:val="center"/>
              <w:rPr>
                <w:rFonts w:ascii="宋体" w:cs="Arial"/>
                <w:kern w:val="0"/>
                <w:sz w:val="20"/>
                <w:szCs w:val="20"/>
              </w:rPr>
            </w:pPr>
          </w:p>
        </w:tc>
        <w:tc>
          <w:tcPr>
            <w:tcW w:w="186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人才培养中心地位</w:t>
            </w:r>
          </w:p>
        </w:tc>
        <w:tc>
          <w:tcPr>
            <w:tcW w:w="3953" w:type="dxa"/>
            <w:shd w:val="clear" w:color="auto" w:fill="auto"/>
            <w:vAlign w:val="center"/>
          </w:tcPr>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（1）落实学校人才培养中心地位的政策与措施</w:t>
            </w:r>
          </w:p>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（2）人才培养中心地位的体现与效果</w:t>
            </w:r>
          </w:p>
          <w:p>
            <w:pPr>
              <w:widowControl/>
              <w:rPr>
                <w:rFonts w:ascii="宋体" w:hAnsi="宋体" w:cs="宋体"/>
                <w:kern w:val="0"/>
                <w:sz w:val="20"/>
                <w:szCs w:val="20"/>
              </w:rPr>
            </w:pPr>
            <w:r>
              <w:rPr>
                <w:rFonts w:hint="eastAsia" w:ascii="宋体" w:hAnsi="宋体" w:cs="宋体"/>
                <w:kern w:val="0"/>
                <w:sz w:val="20"/>
                <w:szCs w:val="20"/>
              </w:rPr>
              <w:t>（3）学校领导对本科教学的重视情况</w:t>
            </w:r>
          </w:p>
        </w:tc>
        <w:tc>
          <w:tcPr>
            <w:tcW w:w="1101" w:type="dxa"/>
            <w:vMerge w:val="continue"/>
            <w:shd w:val="clear" w:color="auto" w:fill="auto"/>
            <w:vAlign w:val="center"/>
          </w:tcPr>
          <w:p>
            <w:pPr>
              <w:widowControl/>
              <w:jc w:val="center"/>
              <w:rPr>
                <w:rFonts w:ascii="宋体" w:cs="宋体"/>
                <w:kern w:val="0"/>
                <w:sz w:val="20"/>
                <w:szCs w:val="20"/>
              </w:rPr>
            </w:pPr>
          </w:p>
        </w:tc>
        <w:tc>
          <w:tcPr>
            <w:tcW w:w="1444" w:type="dxa"/>
            <w:vMerge w:val="continue"/>
            <w:shd w:val="clear" w:color="auto" w:fill="auto"/>
            <w:vAlign w:val="center"/>
          </w:tcPr>
          <w:p>
            <w:pPr>
              <w:widowControl/>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582" w:type="dxa"/>
            <w:vMerge w:val="restart"/>
            <w:tcBorders>
              <w:bottom w:val="single" w:color="auto" w:sz="4" w:space="0"/>
            </w:tcBorders>
            <w:shd w:val="clear" w:color="auto" w:fill="auto"/>
            <w:vAlign w:val="center"/>
          </w:tcPr>
          <w:p>
            <w:pPr>
              <w:ind w:hanging="13"/>
              <w:jc w:val="left"/>
              <w:rPr>
                <w:rFonts w:ascii="宋体" w:cs="Arial"/>
                <w:kern w:val="0"/>
                <w:sz w:val="20"/>
                <w:szCs w:val="20"/>
              </w:rPr>
            </w:pPr>
            <w:r>
              <w:rPr>
                <w:rFonts w:ascii="宋体" w:hAnsi="宋体" w:cs="宋体"/>
                <w:kern w:val="0"/>
                <w:sz w:val="20"/>
                <w:szCs w:val="20"/>
              </w:rPr>
              <w:t>2.</w:t>
            </w:r>
            <w:r>
              <w:rPr>
                <w:rFonts w:hint="eastAsia" w:ascii="宋体" w:hAnsi="宋体" w:cs="宋体"/>
                <w:kern w:val="0"/>
                <w:sz w:val="20"/>
                <w:szCs w:val="20"/>
              </w:rPr>
              <w:t>教师队伍</w:t>
            </w:r>
          </w:p>
        </w:tc>
        <w:tc>
          <w:tcPr>
            <w:tcW w:w="1862" w:type="dxa"/>
            <w:tcBorders>
              <w:bottom w:val="single" w:color="auto" w:sz="4" w:space="0"/>
            </w:tcBorders>
            <w:shd w:val="clear" w:color="auto" w:fill="auto"/>
            <w:vAlign w:val="center"/>
          </w:tcPr>
          <w:p>
            <w:pPr>
              <w:ind w:hanging="13"/>
              <w:jc w:val="left"/>
              <w:rPr>
                <w:rFonts w:ascii="宋体" w:cs="宋体"/>
                <w:kern w:val="0"/>
                <w:sz w:val="20"/>
                <w:szCs w:val="20"/>
              </w:rPr>
            </w:pPr>
            <w:r>
              <w:rPr>
                <w:rFonts w:ascii="宋体" w:hAnsi="宋体" w:cs="宋体"/>
                <w:kern w:val="0"/>
                <w:sz w:val="20"/>
                <w:szCs w:val="20"/>
              </w:rPr>
              <w:t>2.1</w:t>
            </w:r>
            <w:r>
              <w:rPr>
                <w:rFonts w:hint="eastAsia" w:ascii="宋体" w:hAnsi="宋体" w:cs="宋体"/>
                <w:kern w:val="0"/>
                <w:sz w:val="20"/>
                <w:szCs w:val="20"/>
              </w:rPr>
              <w:t>数量与结构</w:t>
            </w:r>
          </w:p>
        </w:tc>
        <w:tc>
          <w:tcPr>
            <w:tcW w:w="3953" w:type="dxa"/>
            <w:tcBorders>
              <w:bottom w:val="single" w:color="auto" w:sz="4" w:space="0"/>
            </w:tcBorders>
            <w:shd w:val="clear" w:color="auto" w:fill="auto"/>
            <w:vAlign w:val="center"/>
          </w:tcPr>
          <w:p>
            <w:pPr>
              <w:ind w:hanging="13"/>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）师资队伍的数量与结构</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）师资队伍建设规划及发展态势</w:t>
            </w:r>
          </w:p>
        </w:tc>
        <w:tc>
          <w:tcPr>
            <w:tcW w:w="1101" w:type="dxa"/>
            <w:vMerge w:val="restart"/>
            <w:shd w:val="clear" w:color="auto" w:fill="auto"/>
            <w:vAlign w:val="center"/>
          </w:tcPr>
          <w:p>
            <w:pPr>
              <w:widowControl/>
              <w:jc w:val="center"/>
              <w:rPr>
                <w:rFonts w:ascii="宋体" w:cs="宋体"/>
                <w:kern w:val="0"/>
                <w:sz w:val="20"/>
                <w:szCs w:val="20"/>
              </w:rPr>
            </w:pPr>
            <w:r>
              <w:rPr>
                <w:rFonts w:hint="eastAsia" w:ascii="宋体" w:hAnsi="宋体" w:cs="宋体"/>
                <w:kern w:val="0"/>
                <w:sz w:val="20"/>
                <w:szCs w:val="20"/>
              </w:rPr>
              <w:t>人事处</w:t>
            </w:r>
          </w:p>
        </w:tc>
        <w:tc>
          <w:tcPr>
            <w:tcW w:w="1444"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教务处</w:t>
            </w:r>
          </w:p>
          <w:p>
            <w:pPr>
              <w:widowControl/>
              <w:jc w:val="center"/>
              <w:rPr>
                <w:rFonts w:ascii="宋体" w:hAnsi="宋体" w:cs="宋体"/>
                <w:kern w:val="0"/>
                <w:sz w:val="20"/>
                <w:szCs w:val="20"/>
              </w:rPr>
            </w:pPr>
            <w:r>
              <w:rPr>
                <w:rFonts w:hint="eastAsia" w:ascii="宋体" w:hAnsi="宋体" w:cs="宋体"/>
                <w:kern w:val="0"/>
                <w:sz w:val="20"/>
                <w:szCs w:val="20"/>
              </w:rPr>
              <w:t>科技处</w:t>
            </w:r>
          </w:p>
          <w:p>
            <w:pPr>
              <w:widowControl/>
              <w:jc w:val="center"/>
              <w:rPr>
                <w:rFonts w:ascii="宋体" w:hAnsi="宋体" w:cs="宋体"/>
                <w:kern w:val="0"/>
                <w:sz w:val="20"/>
                <w:szCs w:val="20"/>
              </w:rPr>
            </w:pPr>
            <w:r>
              <w:rPr>
                <w:rFonts w:hint="eastAsia" w:ascii="宋体" w:hAnsi="宋体" w:cs="宋体"/>
                <w:kern w:val="0"/>
                <w:sz w:val="20"/>
                <w:szCs w:val="20"/>
              </w:rPr>
              <w:t>工会</w:t>
            </w:r>
          </w:p>
          <w:p>
            <w:pPr>
              <w:widowControl/>
              <w:jc w:val="center"/>
              <w:rPr>
                <w:rFonts w:ascii="宋体" w:cs="宋体"/>
                <w:kern w:val="0"/>
                <w:sz w:val="20"/>
                <w:szCs w:val="20"/>
              </w:rPr>
            </w:pPr>
            <w:r>
              <w:rPr>
                <w:rFonts w:hint="eastAsia" w:ascii="宋体" w:hAnsi="宋体" w:cs="宋体"/>
                <w:kern w:val="0"/>
                <w:sz w:val="20"/>
                <w:szCs w:val="20"/>
              </w:rPr>
              <w:t>各院部系</w:t>
            </w:r>
          </w:p>
          <w:p>
            <w:pPr>
              <w:jc w:val="center"/>
              <w:rPr>
                <w:rFonts w:ascii="宋体" w:cs="宋体"/>
                <w:kern w:val="0"/>
                <w:sz w:val="20"/>
                <w:szCs w:val="20"/>
              </w:rPr>
            </w:pPr>
            <w:r>
              <w:rPr>
                <w:rFonts w:hint="eastAsia" w:ascii="宋体" w:hAnsi="宋体" w:cs="宋体"/>
                <w:kern w:val="0"/>
                <w:sz w:val="20"/>
                <w:szCs w:val="20"/>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582" w:type="dxa"/>
            <w:vMerge w:val="continue"/>
            <w:shd w:val="clear" w:color="auto" w:fill="auto"/>
            <w:vAlign w:val="center"/>
          </w:tcPr>
          <w:p>
            <w:pPr>
              <w:jc w:val="left"/>
              <w:rPr>
                <w:rFonts w:ascii="宋体" w:cs="宋体"/>
                <w:kern w:val="0"/>
                <w:sz w:val="20"/>
                <w:szCs w:val="20"/>
              </w:rPr>
            </w:pPr>
          </w:p>
        </w:tc>
        <w:tc>
          <w:tcPr>
            <w:tcW w:w="1862" w:type="dxa"/>
            <w:shd w:val="clear" w:color="auto" w:fill="auto"/>
            <w:vAlign w:val="center"/>
          </w:tcPr>
          <w:p>
            <w:pPr>
              <w:widowControl/>
              <w:jc w:val="left"/>
              <w:rPr>
                <w:rFonts w:ascii="宋体" w:cs="宋体"/>
                <w:kern w:val="0"/>
                <w:sz w:val="20"/>
                <w:szCs w:val="20"/>
              </w:rPr>
            </w:pPr>
            <w:r>
              <w:rPr>
                <w:rFonts w:ascii="宋体" w:hAnsi="宋体" w:cs="宋体"/>
                <w:kern w:val="0"/>
                <w:sz w:val="20"/>
                <w:szCs w:val="20"/>
              </w:rPr>
              <w:t>2.2</w:t>
            </w:r>
            <w:r>
              <w:rPr>
                <w:rFonts w:hint="eastAsia" w:ascii="宋体" w:hAnsi="宋体" w:cs="宋体"/>
                <w:kern w:val="0"/>
                <w:sz w:val="20"/>
                <w:szCs w:val="20"/>
              </w:rPr>
              <w:t>教育教学水平</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）专任教师的专业水平与教学能力</w:t>
            </w:r>
          </w:p>
          <w:p>
            <w:pPr>
              <w:widowControl/>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）学校师德师风建设措施与效果</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continue"/>
            <w:shd w:val="clear" w:color="auto" w:fill="auto"/>
            <w:vAlign w:val="center"/>
          </w:tcPr>
          <w:p>
            <w:pPr>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582" w:type="dxa"/>
            <w:vMerge w:val="continue"/>
            <w:shd w:val="clear" w:color="auto" w:fill="auto"/>
            <w:vAlign w:val="center"/>
          </w:tcPr>
          <w:p>
            <w:pPr>
              <w:jc w:val="left"/>
              <w:rPr>
                <w:rFonts w:ascii="宋体" w:cs="宋体"/>
                <w:kern w:val="0"/>
                <w:sz w:val="20"/>
                <w:szCs w:val="20"/>
              </w:rPr>
            </w:pPr>
          </w:p>
        </w:tc>
        <w:tc>
          <w:tcPr>
            <w:tcW w:w="1862" w:type="dxa"/>
            <w:shd w:val="clear" w:color="auto" w:fill="auto"/>
            <w:vAlign w:val="center"/>
          </w:tcPr>
          <w:p>
            <w:pPr>
              <w:ind w:hanging="13"/>
              <w:jc w:val="left"/>
              <w:rPr>
                <w:rFonts w:ascii="宋体" w:cs="宋体"/>
                <w:b/>
                <w:kern w:val="0"/>
                <w:sz w:val="20"/>
                <w:szCs w:val="20"/>
              </w:rPr>
            </w:pPr>
            <w:r>
              <w:rPr>
                <w:rFonts w:ascii="宋体" w:hAnsi="宋体" w:cs="宋体"/>
                <w:kern w:val="0"/>
                <w:sz w:val="20"/>
                <w:szCs w:val="20"/>
              </w:rPr>
              <w:t>2.3</w:t>
            </w:r>
            <w:r>
              <w:rPr>
                <w:rFonts w:hint="eastAsia" w:ascii="宋体" w:hAnsi="宋体" w:cs="宋体"/>
                <w:kern w:val="0"/>
                <w:sz w:val="20"/>
                <w:szCs w:val="20"/>
              </w:rPr>
              <w:t>教师教学投入</w:t>
            </w:r>
          </w:p>
        </w:tc>
        <w:tc>
          <w:tcPr>
            <w:tcW w:w="3953" w:type="dxa"/>
            <w:shd w:val="clear" w:color="auto" w:fill="auto"/>
            <w:vAlign w:val="center"/>
          </w:tcPr>
          <w:p>
            <w:pPr>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）教授、副教授为本科生上课情况</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）教师开展教学研究、参与教学改革与建设情况</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continue"/>
            <w:shd w:val="clear" w:color="auto" w:fill="auto"/>
            <w:vAlign w:val="center"/>
          </w:tcPr>
          <w:p>
            <w:pPr>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582" w:type="dxa"/>
            <w:vMerge w:val="continue"/>
            <w:shd w:val="clear" w:color="auto" w:fill="auto"/>
            <w:vAlign w:val="center"/>
          </w:tcPr>
          <w:p>
            <w:pPr>
              <w:widowControl/>
              <w:jc w:val="left"/>
              <w:rPr>
                <w:rFonts w:ascii="宋体" w:cs="宋体"/>
                <w:kern w:val="0"/>
                <w:sz w:val="20"/>
                <w:szCs w:val="20"/>
              </w:rPr>
            </w:pPr>
          </w:p>
        </w:tc>
        <w:tc>
          <w:tcPr>
            <w:tcW w:w="1862" w:type="dxa"/>
            <w:shd w:val="clear" w:color="auto" w:fill="auto"/>
            <w:vAlign w:val="center"/>
          </w:tcPr>
          <w:p>
            <w:pPr>
              <w:ind w:hanging="13"/>
              <w:jc w:val="left"/>
              <w:rPr>
                <w:rFonts w:ascii="宋体" w:hAnsi="宋体" w:cs="宋体"/>
                <w:kern w:val="0"/>
                <w:sz w:val="20"/>
                <w:szCs w:val="20"/>
              </w:rPr>
            </w:pPr>
            <w:r>
              <w:rPr>
                <w:rFonts w:ascii="宋体" w:hAnsi="宋体" w:cs="宋体"/>
                <w:spacing w:val="-6"/>
                <w:kern w:val="0"/>
                <w:sz w:val="20"/>
                <w:szCs w:val="20"/>
              </w:rPr>
              <w:t>2.4</w:t>
            </w:r>
            <w:r>
              <w:rPr>
                <w:rFonts w:hint="eastAsia" w:ascii="宋体" w:hAnsi="宋体" w:cs="宋体"/>
                <w:spacing w:val="-6"/>
                <w:kern w:val="0"/>
                <w:sz w:val="20"/>
                <w:szCs w:val="20"/>
              </w:rPr>
              <w:t>教师发展与服务</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）提升教师教学能力和专业水平的政策措施</w:t>
            </w:r>
          </w:p>
          <w:p>
            <w:pPr>
              <w:ind w:hanging="13"/>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）服务教师职业生涯发展的政策措施</w:t>
            </w:r>
          </w:p>
        </w:tc>
        <w:tc>
          <w:tcPr>
            <w:tcW w:w="1101" w:type="dxa"/>
            <w:vMerge w:val="continue"/>
            <w:shd w:val="clear" w:color="auto" w:fill="auto"/>
            <w:vAlign w:val="center"/>
          </w:tcPr>
          <w:p>
            <w:pPr>
              <w:widowControl/>
              <w:jc w:val="center"/>
              <w:rPr>
                <w:rFonts w:ascii="宋体" w:cs="宋体"/>
                <w:kern w:val="0"/>
                <w:sz w:val="20"/>
                <w:szCs w:val="20"/>
              </w:rPr>
            </w:pPr>
          </w:p>
        </w:tc>
        <w:tc>
          <w:tcPr>
            <w:tcW w:w="1444" w:type="dxa"/>
            <w:vMerge w:val="continue"/>
            <w:shd w:val="clear" w:color="auto" w:fill="auto"/>
            <w:vAlign w:val="center"/>
          </w:tcPr>
          <w:p>
            <w:pPr>
              <w:widowControl/>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1582" w:type="dxa"/>
            <w:vMerge w:val="restart"/>
            <w:shd w:val="clear" w:color="auto" w:fill="auto"/>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教学资源</w:t>
            </w: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3.1</w:t>
            </w:r>
            <w:r>
              <w:rPr>
                <w:rFonts w:hint="eastAsia" w:ascii="宋体" w:hAnsi="宋体" w:cs="宋体"/>
                <w:kern w:val="0"/>
                <w:sz w:val="20"/>
                <w:szCs w:val="20"/>
              </w:rPr>
              <w:t>教学经费</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）教学经费投入及保障机制</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）学校教学经费年度变化情况</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）教学经费分配方式、比例及使用效益</w:t>
            </w:r>
          </w:p>
        </w:tc>
        <w:tc>
          <w:tcPr>
            <w:tcW w:w="1101" w:type="dxa"/>
            <w:shd w:val="clear" w:color="auto" w:fill="auto"/>
            <w:vAlign w:val="center"/>
          </w:tcPr>
          <w:p>
            <w:pPr>
              <w:widowControl/>
              <w:jc w:val="center"/>
              <w:rPr>
                <w:rFonts w:ascii="宋体" w:cs="宋体"/>
                <w:kern w:val="0"/>
                <w:sz w:val="20"/>
                <w:szCs w:val="20"/>
              </w:rPr>
            </w:pPr>
            <w:r>
              <w:rPr>
                <w:rFonts w:hint="eastAsia" w:ascii="宋体" w:hAnsi="宋体" w:cs="宋体"/>
                <w:kern w:val="0"/>
                <w:sz w:val="20"/>
                <w:szCs w:val="20"/>
              </w:rPr>
              <w:t>计财处</w:t>
            </w:r>
          </w:p>
        </w:tc>
        <w:tc>
          <w:tcPr>
            <w:tcW w:w="1444" w:type="dxa"/>
            <w:shd w:val="clear" w:color="auto" w:fill="auto"/>
            <w:vAlign w:val="center"/>
          </w:tcPr>
          <w:p>
            <w:pPr>
              <w:widowControl/>
              <w:jc w:val="center"/>
              <w:rPr>
                <w:rFonts w:ascii="宋体" w:cs="宋体"/>
                <w:kern w:val="0"/>
                <w:sz w:val="20"/>
                <w:szCs w:val="20"/>
              </w:rPr>
            </w:pPr>
            <w:r>
              <w:rPr>
                <w:rFonts w:hint="eastAsia" w:ascii="宋体" w:hAnsi="宋体" w:cs="宋体"/>
                <w:kern w:val="0"/>
                <w:sz w:val="20"/>
                <w:szCs w:val="20"/>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582" w:type="dxa"/>
            <w:vMerge w:val="continue"/>
            <w:shd w:val="clear" w:color="auto" w:fill="auto"/>
            <w:vAlign w:val="center"/>
          </w:tcPr>
          <w:p>
            <w:pPr>
              <w:jc w:val="left"/>
              <w:rPr>
                <w:rFonts w:ascii="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3.2</w:t>
            </w:r>
            <w:r>
              <w:rPr>
                <w:rFonts w:hint="eastAsia" w:ascii="宋体" w:hAnsi="宋体" w:cs="宋体"/>
                <w:kern w:val="0"/>
                <w:sz w:val="20"/>
                <w:szCs w:val="20"/>
              </w:rPr>
              <w:t>教学设施</w:t>
            </w:r>
          </w:p>
        </w:tc>
        <w:tc>
          <w:tcPr>
            <w:tcW w:w="3953" w:type="dxa"/>
            <w:shd w:val="clear" w:color="auto" w:fill="auto"/>
            <w:vAlign w:val="center"/>
          </w:tcPr>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（1）教学设施满足教学需要情况</w:t>
            </w:r>
          </w:p>
          <w:p>
            <w:pPr>
              <w:ind w:hanging="13"/>
              <w:rPr>
                <w:rFonts w:ascii="宋体" w:hAnsi="宋体" w:cs="宋体"/>
                <w:spacing w:val="-6"/>
                <w:kern w:val="0"/>
                <w:sz w:val="20"/>
                <w:szCs w:val="20"/>
              </w:rPr>
            </w:pPr>
            <w:r>
              <w:rPr>
                <w:rFonts w:hint="eastAsia" w:ascii="宋体" w:hAnsi="宋体" w:cs="宋体"/>
                <w:spacing w:val="-6"/>
                <w:kern w:val="0"/>
                <w:sz w:val="20"/>
                <w:szCs w:val="20"/>
              </w:rPr>
              <w:t>（2）教学、科研设施的开放程度及利用情况</w:t>
            </w:r>
          </w:p>
          <w:p>
            <w:pPr>
              <w:ind w:hanging="13"/>
              <w:rPr>
                <w:rFonts w:ascii="宋体" w:hAnsi="宋体" w:cs="宋体"/>
                <w:kern w:val="0"/>
                <w:sz w:val="20"/>
                <w:szCs w:val="20"/>
              </w:rPr>
            </w:pPr>
            <w:r>
              <w:rPr>
                <w:rFonts w:hint="eastAsia" w:ascii="宋体" w:hAnsi="宋体" w:cs="宋体"/>
                <w:kern w:val="0"/>
                <w:sz w:val="20"/>
                <w:szCs w:val="20"/>
              </w:rPr>
              <w:t>（3）教学信息化条件及资源建设</w:t>
            </w:r>
          </w:p>
        </w:tc>
        <w:tc>
          <w:tcPr>
            <w:tcW w:w="1101" w:type="dxa"/>
            <w:shd w:val="clear" w:color="auto" w:fill="auto"/>
            <w:vAlign w:val="center"/>
          </w:tcPr>
          <w:p>
            <w:pPr>
              <w:widowControl/>
              <w:jc w:val="center"/>
              <w:rPr>
                <w:rFonts w:ascii="宋体" w:cs="宋体"/>
                <w:kern w:val="0"/>
                <w:sz w:val="20"/>
                <w:szCs w:val="20"/>
              </w:rPr>
            </w:pPr>
            <w:r>
              <w:rPr>
                <w:rFonts w:hint="eastAsia" w:ascii="宋体" w:hAnsi="宋体" w:cs="宋体"/>
                <w:kern w:val="0"/>
                <w:sz w:val="20"/>
                <w:szCs w:val="20"/>
              </w:rPr>
              <w:t>国资处</w:t>
            </w:r>
          </w:p>
        </w:tc>
        <w:tc>
          <w:tcPr>
            <w:tcW w:w="1444"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基建后勤处</w:t>
            </w:r>
          </w:p>
          <w:p>
            <w:pPr>
              <w:widowControl/>
              <w:jc w:val="center"/>
              <w:rPr>
                <w:rFonts w:ascii="宋体" w:cs="宋体"/>
                <w:kern w:val="0"/>
                <w:sz w:val="18"/>
                <w:szCs w:val="18"/>
              </w:rPr>
            </w:pPr>
            <w:r>
              <w:rPr>
                <w:rFonts w:hint="eastAsia" w:ascii="宋体" w:hAnsi="宋体" w:cs="宋体"/>
                <w:kern w:val="0"/>
                <w:sz w:val="20"/>
                <w:szCs w:val="20"/>
              </w:rPr>
              <w:t>图书</w:t>
            </w:r>
            <w:r>
              <w:rPr>
                <w:rFonts w:hint="eastAsia" w:ascii="宋体" w:cs="宋体"/>
                <w:kern w:val="0"/>
                <w:sz w:val="18"/>
                <w:szCs w:val="18"/>
              </w:rPr>
              <w:t>信息中心</w:t>
            </w:r>
          </w:p>
          <w:p>
            <w:pPr>
              <w:widowControl/>
              <w:jc w:val="center"/>
              <w:rPr>
                <w:rFonts w:ascii="宋体" w:cs="宋体"/>
                <w:kern w:val="0"/>
                <w:sz w:val="20"/>
                <w:szCs w:val="20"/>
              </w:rPr>
            </w:pPr>
            <w:r>
              <w:rPr>
                <w:rFonts w:hint="eastAsia" w:asci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1582" w:type="dxa"/>
            <w:vMerge w:val="continue"/>
            <w:shd w:val="clear" w:color="auto" w:fill="auto"/>
            <w:vAlign w:val="center"/>
          </w:tcPr>
          <w:p>
            <w:pPr>
              <w:jc w:val="left"/>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3.3</w:t>
            </w:r>
            <w:r>
              <w:rPr>
                <w:rFonts w:hint="eastAsia" w:ascii="宋体" w:hAnsi="宋体" w:cs="宋体"/>
                <w:kern w:val="0"/>
                <w:sz w:val="20"/>
                <w:szCs w:val="20"/>
              </w:rPr>
              <w:t>专业设置与培养方案</w:t>
            </w:r>
          </w:p>
        </w:tc>
        <w:tc>
          <w:tcPr>
            <w:tcW w:w="3953" w:type="dxa"/>
            <w:shd w:val="clear" w:color="auto" w:fill="auto"/>
            <w:vAlign w:val="center"/>
          </w:tcPr>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（1）专业建设规划与执行</w:t>
            </w:r>
          </w:p>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（2）专业设置与结构调整，优势专业与新专业建设</w:t>
            </w:r>
          </w:p>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（3）培养方案的制定、执行与调整</w:t>
            </w:r>
          </w:p>
        </w:tc>
        <w:tc>
          <w:tcPr>
            <w:tcW w:w="1101" w:type="dxa"/>
            <w:vMerge w:val="restart"/>
            <w:shd w:val="clear" w:color="auto" w:fill="auto"/>
            <w:vAlign w:val="center"/>
          </w:tcPr>
          <w:p>
            <w:pPr>
              <w:jc w:val="center"/>
              <w:rPr>
                <w:rFonts w:ascii="宋体" w:cs="宋体"/>
                <w:kern w:val="0"/>
                <w:sz w:val="20"/>
                <w:szCs w:val="20"/>
              </w:rPr>
            </w:pPr>
            <w:r>
              <w:rPr>
                <w:rFonts w:hint="eastAsia" w:ascii="宋体" w:hAnsi="宋体" w:cs="宋体"/>
                <w:kern w:val="0"/>
                <w:sz w:val="20"/>
                <w:szCs w:val="20"/>
              </w:rPr>
              <w:t>教务处</w:t>
            </w:r>
          </w:p>
        </w:tc>
        <w:tc>
          <w:tcPr>
            <w:tcW w:w="1444" w:type="dxa"/>
            <w:vMerge w:val="restart"/>
            <w:shd w:val="clear" w:color="auto" w:fill="auto"/>
            <w:vAlign w:val="center"/>
          </w:tcPr>
          <w:p>
            <w:pPr>
              <w:widowControl/>
              <w:jc w:val="center"/>
              <w:rPr>
                <w:rFonts w:ascii="宋体" w:cs="宋体"/>
                <w:kern w:val="0"/>
                <w:sz w:val="20"/>
                <w:szCs w:val="20"/>
              </w:rPr>
            </w:pPr>
            <w:r>
              <w:rPr>
                <w:rFonts w:hint="eastAsia" w:asci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1582" w:type="dxa"/>
            <w:vMerge w:val="continue"/>
            <w:tcBorders>
              <w:bottom w:val="single" w:color="auto" w:sz="4" w:space="0"/>
            </w:tcBorders>
            <w:shd w:val="clear" w:color="auto" w:fill="auto"/>
            <w:vAlign w:val="center"/>
          </w:tcPr>
          <w:p>
            <w:pPr>
              <w:widowControl/>
              <w:jc w:val="left"/>
              <w:rPr>
                <w:rFonts w:ascii="宋体" w:cs="宋体"/>
                <w:kern w:val="0"/>
                <w:sz w:val="20"/>
                <w:szCs w:val="20"/>
              </w:rPr>
            </w:pPr>
          </w:p>
        </w:tc>
        <w:tc>
          <w:tcPr>
            <w:tcW w:w="1862" w:type="dxa"/>
            <w:tcBorders>
              <w:bottom w:val="single" w:color="auto" w:sz="4" w:space="0"/>
            </w:tcBorders>
            <w:shd w:val="clear" w:color="auto" w:fill="auto"/>
            <w:vAlign w:val="center"/>
          </w:tcPr>
          <w:p>
            <w:pPr>
              <w:jc w:val="left"/>
              <w:rPr>
                <w:rFonts w:ascii="宋体" w:cs="宋体"/>
                <w:kern w:val="0"/>
                <w:sz w:val="20"/>
                <w:szCs w:val="20"/>
              </w:rPr>
            </w:pPr>
            <w:r>
              <w:rPr>
                <w:rFonts w:ascii="宋体" w:hAnsi="宋体" w:cs="宋体"/>
                <w:kern w:val="0"/>
                <w:sz w:val="20"/>
                <w:szCs w:val="20"/>
              </w:rPr>
              <w:t>3.4</w:t>
            </w:r>
            <w:r>
              <w:rPr>
                <w:rFonts w:hint="eastAsia" w:ascii="宋体" w:hAnsi="宋体" w:cs="宋体"/>
                <w:kern w:val="0"/>
                <w:sz w:val="20"/>
                <w:szCs w:val="20"/>
              </w:rPr>
              <w:t>课程资源</w:t>
            </w:r>
          </w:p>
        </w:tc>
        <w:tc>
          <w:tcPr>
            <w:tcW w:w="3953" w:type="dxa"/>
            <w:tcBorders>
              <w:bottom w:val="single" w:color="auto" w:sz="4" w:space="0"/>
            </w:tcBorders>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）课程建设规划与执行</w:t>
            </w:r>
          </w:p>
          <w:p>
            <w:pPr>
              <w:rPr>
                <w:rFonts w:ascii="宋体" w:hAnsi="宋体" w:cs="宋体"/>
                <w:kern w:val="0"/>
                <w:sz w:val="20"/>
                <w:szCs w:val="20"/>
              </w:rPr>
            </w:pPr>
            <w:r>
              <w:rPr>
                <w:rFonts w:hint="eastAsia" w:ascii="宋体" w:hAnsi="宋体" w:cs="宋体"/>
                <w:kern w:val="0"/>
                <w:sz w:val="20"/>
                <w:szCs w:val="20"/>
              </w:rPr>
              <w:t>（</w:t>
            </w:r>
            <w:r>
              <w:rPr>
                <w:rFonts w:hint="eastAsia" w:ascii="宋体" w:hAnsi="宋体" w:cs="宋体"/>
                <w:spacing w:val="-6"/>
                <w:kern w:val="0"/>
                <w:sz w:val="20"/>
                <w:szCs w:val="20"/>
              </w:rPr>
              <w:t>2）课程的数量、结构及优质课程资源建设</w:t>
            </w:r>
          </w:p>
          <w:p>
            <w:pPr>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）教材建设与选用</w:t>
            </w:r>
          </w:p>
        </w:tc>
        <w:tc>
          <w:tcPr>
            <w:tcW w:w="1101" w:type="dxa"/>
            <w:vMerge w:val="continue"/>
            <w:tcBorders>
              <w:bottom w:val="single" w:color="auto" w:sz="4" w:space="0"/>
            </w:tcBorders>
            <w:shd w:val="clear" w:color="auto" w:fill="auto"/>
            <w:vAlign w:val="center"/>
          </w:tcPr>
          <w:p>
            <w:pPr>
              <w:widowControl/>
              <w:jc w:val="center"/>
              <w:rPr>
                <w:rFonts w:ascii="宋体" w:cs="宋体"/>
                <w:kern w:val="0"/>
                <w:sz w:val="20"/>
                <w:szCs w:val="20"/>
              </w:rPr>
            </w:pPr>
          </w:p>
        </w:tc>
        <w:tc>
          <w:tcPr>
            <w:tcW w:w="1444" w:type="dxa"/>
            <w:vMerge w:val="continue"/>
            <w:tcBorders>
              <w:bottom w:val="single" w:color="auto" w:sz="4" w:space="0"/>
            </w:tcBorders>
            <w:shd w:val="clear" w:color="auto" w:fill="auto"/>
            <w:vAlign w:val="center"/>
          </w:tcPr>
          <w:p>
            <w:pPr>
              <w:widowControl/>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1582" w:type="dxa"/>
            <w:vMerge w:val="continue"/>
            <w:shd w:val="clear" w:color="auto" w:fill="auto"/>
            <w:vAlign w:val="center"/>
          </w:tcPr>
          <w:p>
            <w:pPr>
              <w:widowControl/>
              <w:jc w:val="left"/>
              <w:rPr>
                <w:rFonts w:ascii="宋体" w:cs="宋体"/>
                <w:kern w:val="0"/>
                <w:sz w:val="20"/>
                <w:szCs w:val="20"/>
              </w:rPr>
            </w:pPr>
          </w:p>
        </w:tc>
        <w:tc>
          <w:tcPr>
            <w:tcW w:w="1862" w:type="dxa"/>
            <w:shd w:val="clear" w:color="auto" w:fill="auto"/>
            <w:vAlign w:val="center"/>
          </w:tcPr>
          <w:p>
            <w:pPr>
              <w:jc w:val="left"/>
              <w:rPr>
                <w:rFonts w:ascii="宋体" w:cs="宋体"/>
                <w:kern w:val="0"/>
                <w:sz w:val="20"/>
                <w:szCs w:val="20"/>
              </w:rPr>
            </w:pPr>
            <w:r>
              <w:rPr>
                <w:rFonts w:ascii="宋体" w:hAnsi="宋体" w:cs="宋体"/>
                <w:kern w:val="0"/>
                <w:sz w:val="20"/>
                <w:szCs w:val="20"/>
              </w:rPr>
              <w:t>3.5</w:t>
            </w:r>
            <w:r>
              <w:rPr>
                <w:rFonts w:hint="eastAsia" w:ascii="宋体" w:hAnsi="宋体" w:cs="宋体"/>
                <w:kern w:val="0"/>
                <w:sz w:val="20"/>
                <w:szCs w:val="20"/>
              </w:rPr>
              <w:t>社会资源</w:t>
            </w:r>
          </w:p>
        </w:tc>
        <w:tc>
          <w:tcPr>
            <w:tcW w:w="3953" w:type="dxa"/>
            <w:shd w:val="clear" w:color="auto" w:fill="auto"/>
            <w:vAlign w:val="center"/>
          </w:tcPr>
          <w:p>
            <w:pPr>
              <w:adjustRightInd w:val="0"/>
              <w:spacing w:line="180" w:lineRule="auto"/>
              <w:rPr>
                <w:rFonts w:ascii="宋体" w:hAnsi="宋体" w:cs="宋体"/>
                <w:kern w:val="0"/>
                <w:sz w:val="20"/>
                <w:szCs w:val="20"/>
              </w:rPr>
            </w:pPr>
            <w:r>
              <w:rPr>
                <w:rFonts w:hint="eastAsia" w:ascii="宋体" w:hAnsi="宋体" w:cs="宋体"/>
                <w:kern w:val="0"/>
                <w:sz w:val="20"/>
                <w:szCs w:val="20"/>
              </w:rPr>
              <w:t>（1）合作办学、合作育人的措施与效果</w:t>
            </w:r>
          </w:p>
          <w:p>
            <w:pPr>
              <w:adjustRightInd w:val="0"/>
              <w:spacing w:line="180" w:lineRule="auto"/>
              <w:rPr>
                <w:rFonts w:ascii="宋体" w:hAnsi="宋体" w:cs="宋体"/>
                <w:kern w:val="0"/>
                <w:sz w:val="20"/>
                <w:szCs w:val="20"/>
              </w:rPr>
            </w:pPr>
            <w:r>
              <w:rPr>
                <w:rFonts w:hint="eastAsia" w:ascii="宋体" w:hAnsi="宋体" w:cs="宋体"/>
                <w:kern w:val="0"/>
                <w:sz w:val="20"/>
                <w:szCs w:val="20"/>
              </w:rPr>
              <w:t>（2）共建教学资源情况</w:t>
            </w:r>
          </w:p>
          <w:p>
            <w:pPr>
              <w:rPr>
                <w:rFonts w:ascii="宋体" w:hAnsi="宋体" w:cs="宋体"/>
                <w:kern w:val="0"/>
                <w:sz w:val="20"/>
                <w:szCs w:val="20"/>
              </w:rPr>
            </w:pPr>
            <w:r>
              <w:rPr>
                <w:rFonts w:hint="eastAsia" w:ascii="宋体" w:hAnsi="宋体" w:cs="宋体"/>
                <w:kern w:val="0"/>
                <w:sz w:val="20"/>
                <w:szCs w:val="20"/>
              </w:rPr>
              <w:t>（3）社会捐赠情况</w:t>
            </w:r>
          </w:p>
        </w:tc>
        <w:tc>
          <w:tcPr>
            <w:tcW w:w="1101" w:type="dxa"/>
            <w:shd w:val="clear" w:color="auto" w:fill="auto"/>
            <w:vAlign w:val="center"/>
          </w:tcPr>
          <w:p>
            <w:pPr>
              <w:widowControl/>
              <w:jc w:val="center"/>
              <w:rPr>
                <w:rFonts w:ascii="宋体" w:cs="宋体"/>
                <w:kern w:val="0"/>
                <w:sz w:val="20"/>
                <w:szCs w:val="20"/>
              </w:rPr>
            </w:pPr>
            <w:r>
              <w:rPr>
                <w:rFonts w:hint="eastAsia" w:ascii="宋体" w:hAnsi="宋体" w:cs="宋体"/>
                <w:kern w:val="0"/>
                <w:sz w:val="20"/>
                <w:szCs w:val="20"/>
              </w:rPr>
              <w:t>校办</w:t>
            </w:r>
          </w:p>
        </w:tc>
        <w:tc>
          <w:tcPr>
            <w:tcW w:w="144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国资处</w:t>
            </w:r>
          </w:p>
          <w:p>
            <w:pPr>
              <w:widowControl/>
              <w:jc w:val="center"/>
              <w:rPr>
                <w:rFonts w:ascii="宋体" w:hAnsi="宋体" w:cs="宋体"/>
                <w:kern w:val="0"/>
                <w:sz w:val="20"/>
                <w:szCs w:val="20"/>
              </w:rPr>
            </w:pPr>
            <w:r>
              <w:rPr>
                <w:rFonts w:hint="eastAsia" w:ascii="宋体" w:hAnsi="宋体" w:cs="宋体"/>
                <w:kern w:val="0"/>
                <w:sz w:val="20"/>
                <w:szCs w:val="20"/>
              </w:rPr>
              <w:t>计财处</w:t>
            </w:r>
          </w:p>
          <w:p>
            <w:pPr>
              <w:widowControl/>
              <w:jc w:val="center"/>
              <w:rPr>
                <w:rFonts w:ascii="宋体" w:hAnsi="宋体" w:cs="宋体"/>
                <w:kern w:val="0"/>
                <w:sz w:val="20"/>
                <w:szCs w:val="20"/>
              </w:rPr>
            </w:pPr>
            <w:r>
              <w:rPr>
                <w:rFonts w:hint="eastAsia" w:ascii="宋体" w:hAnsi="宋体" w:cs="宋体"/>
                <w:kern w:val="0"/>
                <w:sz w:val="20"/>
                <w:szCs w:val="20"/>
              </w:rPr>
              <w:t>国际处</w:t>
            </w:r>
          </w:p>
          <w:p>
            <w:pPr>
              <w:widowControl/>
              <w:jc w:val="center"/>
              <w:rPr>
                <w:rFonts w:ascii="宋体" w:cs="宋体"/>
                <w:kern w:val="0"/>
                <w:sz w:val="20"/>
                <w:szCs w:val="20"/>
              </w:rPr>
            </w:pPr>
            <w:r>
              <w:rPr>
                <w:rFonts w:hint="eastAsia" w:ascii="宋体" w:hAnsi="宋体" w:cs="宋体"/>
                <w:kern w:val="0"/>
                <w:sz w:val="20"/>
                <w:szCs w:val="20"/>
              </w:rPr>
              <w:t>学工处</w:t>
            </w:r>
          </w:p>
          <w:p>
            <w:pPr>
              <w:widowControl/>
              <w:jc w:val="center"/>
              <w:rPr>
                <w:rFonts w:ascii="宋体" w:hAnsi="宋体" w:cs="宋体"/>
                <w:kern w:val="0"/>
                <w:sz w:val="20"/>
                <w:szCs w:val="20"/>
              </w:rPr>
            </w:pPr>
            <w:r>
              <w:rPr>
                <w:rFonts w:hint="eastAsia" w:ascii="宋体" w:hAnsi="宋体" w:cs="宋体"/>
                <w:kern w:val="0"/>
                <w:sz w:val="20"/>
                <w:szCs w:val="20"/>
              </w:rPr>
              <w:t>教务处</w:t>
            </w:r>
          </w:p>
          <w:p>
            <w:pPr>
              <w:widowControl/>
              <w:jc w:val="center"/>
              <w:rPr>
                <w:rFonts w:ascii="宋体" w:cs="宋体"/>
                <w:kern w:val="0"/>
                <w:sz w:val="20"/>
                <w:szCs w:val="20"/>
              </w:rPr>
            </w:pPr>
            <w:r>
              <w:rPr>
                <w:rFonts w:hint="eastAsia" w:ascii="宋体" w:hAns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1582" w:type="dxa"/>
            <w:vMerge w:val="restart"/>
            <w:shd w:val="clear" w:color="auto" w:fill="auto"/>
            <w:vAlign w:val="center"/>
          </w:tcPr>
          <w:p>
            <w:pPr>
              <w:widowControl/>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培养过程</w:t>
            </w:r>
          </w:p>
        </w:tc>
        <w:tc>
          <w:tcPr>
            <w:tcW w:w="1862" w:type="dxa"/>
            <w:shd w:val="clear" w:color="auto" w:fill="auto"/>
            <w:vAlign w:val="center"/>
          </w:tcPr>
          <w:p>
            <w:pPr>
              <w:ind w:hanging="13"/>
              <w:jc w:val="left"/>
              <w:rPr>
                <w:rFonts w:ascii="宋体" w:hAnsi="宋体" w:cs="宋体"/>
                <w:kern w:val="0"/>
                <w:sz w:val="20"/>
                <w:szCs w:val="20"/>
              </w:rPr>
            </w:pPr>
            <w:r>
              <w:rPr>
                <w:rFonts w:hint="eastAsia" w:ascii="宋体" w:hAnsi="宋体" w:cs="宋体"/>
                <w:kern w:val="0"/>
                <w:sz w:val="20"/>
                <w:szCs w:val="20"/>
              </w:rPr>
              <w:t>4.1教学改革</w:t>
            </w:r>
          </w:p>
        </w:tc>
        <w:tc>
          <w:tcPr>
            <w:tcW w:w="3953" w:type="dxa"/>
            <w:shd w:val="clear" w:color="auto" w:fill="auto"/>
            <w:vAlign w:val="center"/>
          </w:tcPr>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（1）教学改革的总体思路及政策措施</w:t>
            </w:r>
          </w:p>
          <w:p>
            <w:pPr>
              <w:ind w:hanging="13"/>
              <w:rPr>
                <w:rFonts w:ascii="宋体" w:hAnsi="宋体" w:cs="宋体"/>
                <w:kern w:val="0"/>
                <w:sz w:val="20"/>
                <w:szCs w:val="20"/>
              </w:rPr>
            </w:pPr>
            <w:r>
              <w:rPr>
                <w:rFonts w:hint="eastAsia" w:ascii="宋体" w:hAnsi="宋体" w:cs="宋体"/>
                <w:kern w:val="0"/>
                <w:sz w:val="20"/>
                <w:szCs w:val="20"/>
              </w:rPr>
              <w:t>（2）人才培养模式改革，人才培养体制、机制改革</w:t>
            </w:r>
          </w:p>
          <w:p>
            <w:pPr>
              <w:ind w:hanging="13"/>
              <w:rPr>
                <w:rFonts w:ascii="宋体" w:hAnsi="宋体" w:cs="宋体"/>
                <w:kern w:val="0"/>
                <w:sz w:val="20"/>
                <w:szCs w:val="20"/>
              </w:rPr>
            </w:pPr>
            <w:r>
              <w:rPr>
                <w:rFonts w:hint="eastAsia" w:ascii="宋体" w:hAnsi="宋体" w:cs="宋体"/>
                <w:kern w:val="0"/>
                <w:sz w:val="20"/>
                <w:szCs w:val="20"/>
              </w:rPr>
              <w:t>（3）教学及管理信息化</w:t>
            </w:r>
          </w:p>
        </w:tc>
        <w:tc>
          <w:tcPr>
            <w:tcW w:w="1101" w:type="dxa"/>
            <w:vMerge w:val="restart"/>
            <w:shd w:val="clear" w:color="auto" w:fill="auto"/>
            <w:vAlign w:val="center"/>
          </w:tcPr>
          <w:p>
            <w:pPr>
              <w:widowControl/>
              <w:jc w:val="center"/>
              <w:rPr>
                <w:rFonts w:ascii="宋体" w:cs="宋体"/>
                <w:kern w:val="0"/>
                <w:sz w:val="20"/>
                <w:szCs w:val="20"/>
              </w:rPr>
            </w:pPr>
            <w:r>
              <w:rPr>
                <w:rFonts w:hint="eastAsia" w:ascii="宋体" w:hAnsi="宋体" w:cs="宋体"/>
                <w:kern w:val="0"/>
                <w:sz w:val="20"/>
                <w:szCs w:val="20"/>
              </w:rPr>
              <w:t>教务处</w:t>
            </w:r>
          </w:p>
        </w:tc>
        <w:tc>
          <w:tcPr>
            <w:tcW w:w="144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图书信息中心</w:t>
            </w:r>
          </w:p>
          <w:p>
            <w:pPr>
              <w:widowControl/>
              <w:jc w:val="center"/>
              <w:rPr>
                <w:rFonts w:ascii="宋体" w:cs="宋体"/>
                <w:kern w:val="0"/>
                <w:sz w:val="20"/>
                <w:szCs w:val="20"/>
              </w:rPr>
            </w:pPr>
            <w:r>
              <w:rPr>
                <w:rFonts w:hint="eastAsia" w:ascii="宋体" w:hAns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jc w:val="center"/>
        </w:trPr>
        <w:tc>
          <w:tcPr>
            <w:tcW w:w="1582" w:type="dxa"/>
            <w:vMerge w:val="continue"/>
            <w:shd w:val="clear" w:color="auto" w:fill="auto"/>
            <w:vAlign w:val="center"/>
          </w:tcPr>
          <w:p>
            <w:pPr>
              <w:widowControl/>
              <w:jc w:val="left"/>
              <w:rPr>
                <w:rFonts w:ascii="宋体" w:cs="宋体"/>
                <w:kern w:val="0"/>
                <w:sz w:val="20"/>
                <w:szCs w:val="20"/>
              </w:rPr>
            </w:pPr>
          </w:p>
        </w:tc>
        <w:tc>
          <w:tcPr>
            <w:tcW w:w="1862" w:type="dxa"/>
            <w:shd w:val="clear" w:color="auto" w:fill="auto"/>
            <w:vAlign w:val="center"/>
          </w:tcPr>
          <w:p>
            <w:pPr>
              <w:widowControl/>
              <w:jc w:val="left"/>
              <w:rPr>
                <w:rFonts w:ascii="宋体" w:cs="宋体"/>
                <w:kern w:val="0"/>
                <w:sz w:val="20"/>
                <w:szCs w:val="20"/>
              </w:rPr>
            </w:pPr>
            <w:r>
              <w:rPr>
                <w:rFonts w:hint="eastAsia" w:ascii="宋体" w:hAnsi="宋体" w:cs="宋体"/>
                <w:kern w:val="0"/>
                <w:sz w:val="20"/>
                <w:szCs w:val="20"/>
              </w:rPr>
              <w:t>4.2课堂教学</w:t>
            </w:r>
          </w:p>
        </w:tc>
        <w:tc>
          <w:tcPr>
            <w:tcW w:w="3953" w:type="dxa"/>
            <w:shd w:val="clear" w:color="auto" w:fill="auto"/>
            <w:vAlign w:val="center"/>
          </w:tcPr>
          <w:p>
            <w:pPr>
              <w:adjustRightInd w:val="0"/>
              <w:spacing w:line="180" w:lineRule="auto"/>
              <w:rPr>
                <w:rFonts w:ascii="宋体" w:hAnsi="宋体" w:cs="宋体"/>
                <w:kern w:val="0"/>
                <w:sz w:val="20"/>
                <w:szCs w:val="20"/>
              </w:rPr>
            </w:pPr>
            <w:r>
              <w:rPr>
                <w:rFonts w:hint="eastAsia" w:ascii="宋体" w:hAnsi="宋体" w:cs="宋体"/>
                <w:kern w:val="0"/>
                <w:sz w:val="20"/>
                <w:szCs w:val="20"/>
              </w:rPr>
              <w:t>（1）教学大纲的制订与执行</w:t>
            </w:r>
          </w:p>
          <w:p>
            <w:pPr>
              <w:widowControl/>
              <w:rPr>
                <w:rFonts w:ascii="宋体" w:hAnsi="宋体" w:cs="宋体"/>
                <w:kern w:val="0"/>
                <w:sz w:val="20"/>
                <w:szCs w:val="20"/>
              </w:rPr>
            </w:pPr>
            <w:r>
              <w:rPr>
                <w:rFonts w:hint="eastAsia" w:ascii="宋体" w:hAnsi="宋体" w:cs="宋体"/>
                <w:kern w:val="0"/>
                <w:sz w:val="20"/>
                <w:szCs w:val="20"/>
              </w:rPr>
              <w:t>（2）教学内容对人才培养目标的体现，科研转化教学</w:t>
            </w:r>
          </w:p>
          <w:p>
            <w:pPr>
              <w:widowControl/>
              <w:rPr>
                <w:rFonts w:ascii="宋体" w:hAnsi="宋体" w:cs="宋体"/>
                <w:kern w:val="0"/>
                <w:sz w:val="20"/>
                <w:szCs w:val="20"/>
              </w:rPr>
            </w:pPr>
            <w:r>
              <w:rPr>
                <w:rFonts w:hint="eastAsia" w:ascii="宋体" w:hAnsi="宋体" w:cs="宋体"/>
                <w:kern w:val="0"/>
                <w:sz w:val="20"/>
                <w:szCs w:val="20"/>
              </w:rPr>
              <w:t>（3）教师教学方法，学生学习方式</w:t>
            </w:r>
          </w:p>
          <w:p>
            <w:pPr>
              <w:widowControl/>
              <w:rPr>
                <w:rFonts w:ascii="宋体" w:cs="宋体"/>
                <w:kern w:val="0"/>
                <w:sz w:val="20"/>
                <w:szCs w:val="20"/>
              </w:rPr>
            </w:pPr>
            <w:r>
              <w:rPr>
                <w:rFonts w:hint="eastAsia" w:ascii="宋体" w:hAnsi="宋体" w:cs="宋体"/>
                <w:kern w:val="0"/>
                <w:sz w:val="20"/>
                <w:szCs w:val="20"/>
              </w:rPr>
              <w:t>（4）考试考核的方式方法及管理</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restart"/>
            <w:shd w:val="clear" w:color="auto" w:fill="auto"/>
            <w:vAlign w:val="center"/>
          </w:tcPr>
          <w:p>
            <w:pPr>
              <w:jc w:val="center"/>
              <w:rPr>
                <w:rFonts w:ascii="宋体" w:cs="宋体"/>
                <w:kern w:val="0"/>
                <w:sz w:val="20"/>
                <w:szCs w:val="20"/>
              </w:rPr>
            </w:pPr>
            <w:r>
              <w:rPr>
                <w:rFonts w:hint="eastAsia" w:ascii="宋体" w:hAns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582" w:type="dxa"/>
            <w:vMerge w:val="continue"/>
            <w:shd w:val="clear" w:color="auto" w:fill="auto"/>
            <w:vAlign w:val="center"/>
          </w:tcPr>
          <w:p>
            <w:pPr>
              <w:widowControl/>
              <w:jc w:val="left"/>
              <w:rPr>
                <w:rFonts w:ascii="宋体" w:cs="宋体"/>
                <w:kern w:val="0"/>
                <w:sz w:val="20"/>
                <w:szCs w:val="20"/>
              </w:rPr>
            </w:pPr>
          </w:p>
        </w:tc>
        <w:tc>
          <w:tcPr>
            <w:tcW w:w="1862" w:type="dxa"/>
            <w:shd w:val="clear" w:color="auto" w:fill="auto"/>
            <w:vAlign w:val="center"/>
          </w:tcPr>
          <w:p>
            <w:pPr>
              <w:widowControl/>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3实践教学</w:t>
            </w:r>
          </w:p>
        </w:tc>
        <w:tc>
          <w:tcPr>
            <w:tcW w:w="3953" w:type="dxa"/>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（1）实践教学体系建设</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）实验教学与实验室开放情况</w:t>
            </w:r>
          </w:p>
          <w:p>
            <w:pPr>
              <w:widowControl/>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）实习实训、社会实践、毕业设计（论文）的落实及效果</w:t>
            </w:r>
          </w:p>
        </w:tc>
        <w:tc>
          <w:tcPr>
            <w:tcW w:w="1101" w:type="dxa"/>
            <w:vMerge w:val="continue"/>
            <w:shd w:val="clear" w:color="auto" w:fill="auto"/>
            <w:vAlign w:val="center"/>
          </w:tcPr>
          <w:p>
            <w:pPr>
              <w:jc w:val="center"/>
              <w:rPr>
                <w:rFonts w:ascii="宋体" w:hAnsi="宋体" w:cs="宋体"/>
                <w:kern w:val="0"/>
                <w:sz w:val="20"/>
                <w:szCs w:val="20"/>
              </w:rPr>
            </w:pPr>
          </w:p>
        </w:tc>
        <w:tc>
          <w:tcPr>
            <w:tcW w:w="1444"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1582" w:type="dxa"/>
            <w:vMerge w:val="continue"/>
            <w:shd w:val="clear" w:color="auto" w:fill="auto"/>
            <w:vAlign w:val="center"/>
          </w:tcPr>
          <w:p>
            <w:pPr>
              <w:widowControl/>
              <w:jc w:val="left"/>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4第二课堂</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）第二课堂育人体系建设与保障措施</w:t>
            </w:r>
          </w:p>
          <w:p>
            <w:pPr>
              <w:ind w:hanging="13"/>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）社团建设与校园文化、科技活动及育人效果</w:t>
            </w:r>
          </w:p>
          <w:p>
            <w:pPr>
              <w:ind w:hanging="13"/>
              <w:rPr>
                <w:rFonts w:ascii="宋体" w:cs="宋体"/>
                <w:kern w:val="0"/>
                <w:sz w:val="20"/>
                <w:szCs w:val="20"/>
              </w:rPr>
            </w:pPr>
            <w:r>
              <w:rPr>
                <w:rFonts w:hint="eastAsia" w:ascii="宋体" w:hAnsi="宋体" w:cs="宋体"/>
                <w:kern w:val="0"/>
                <w:sz w:val="20"/>
                <w:szCs w:val="20"/>
              </w:rPr>
              <w:t>（3）学生国内外交流学习情况</w:t>
            </w:r>
          </w:p>
        </w:tc>
        <w:tc>
          <w:tcPr>
            <w:tcW w:w="1101" w:type="dxa"/>
            <w:vMerge w:val="continue"/>
            <w:shd w:val="clear" w:color="auto" w:fill="auto"/>
            <w:vAlign w:val="center"/>
          </w:tcPr>
          <w:p>
            <w:pPr>
              <w:widowControl/>
              <w:jc w:val="center"/>
              <w:rPr>
                <w:rFonts w:ascii="宋体" w:cs="宋体"/>
                <w:kern w:val="0"/>
                <w:sz w:val="20"/>
                <w:szCs w:val="20"/>
              </w:rPr>
            </w:pPr>
          </w:p>
        </w:tc>
        <w:tc>
          <w:tcPr>
            <w:tcW w:w="144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团委</w:t>
            </w:r>
          </w:p>
          <w:p>
            <w:pPr>
              <w:widowControl/>
              <w:jc w:val="center"/>
              <w:rPr>
                <w:rFonts w:ascii="宋体" w:hAnsi="宋体" w:cs="宋体"/>
                <w:kern w:val="0"/>
                <w:sz w:val="20"/>
                <w:szCs w:val="20"/>
              </w:rPr>
            </w:pPr>
            <w:r>
              <w:rPr>
                <w:rFonts w:hint="eastAsia" w:ascii="宋体" w:hAnsi="宋体" w:cs="宋体"/>
                <w:kern w:val="0"/>
                <w:sz w:val="20"/>
                <w:szCs w:val="20"/>
              </w:rPr>
              <w:t>学工处</w:t>
            </w:r>
          </w:p>
          <w:p>
            <w:pPr>
              <w:widowControl/>
              <w:jc w:val="center"/>
              <w:rPr>
                <w:rFonts w:ascii="宋体" w:hAnsi="宋体" w:cs="宋体"/>
                <w:kern w:val="0"/>
                <w:sz w:val="20"/>
                <w:szCs w:val="20"/>
              </w:rPr>
            </w:pPr>
            <w:r>
              <w:rPr>
                <w:rFonts w:hint="eastAsia" w:ascii="宋体" w:hAnsi="宋体" w:cs="宋体"/>
                <w:kern w:val="0"/>
                <w:sz w:val="20"/>
                <w:szCs w:val="20"/>
              </w:rPr>
              <w:t>国际处</w:t>
            </w:r>
          </w:p>
          <w:p>
            <w:pPr>
              <w:widowControl/>
              <w:jc w:val="center"/>
              <w:rPr>
                <w:rFonts w:ascii="宋体" w:cs="宋体"/>
                <w:kern w:val="0"/>
                <w:sz w:val="20"/>
                <w:szCs w:val="20"/>
              </w:rPr>
            </w:pPr>
            <w:r>
              <w:rPr>
                <w:rFonts w:hint="eastAsia" w:ascii="宋体" w:hAns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582" w:type="dxa"/>
            <w:vMerge w:val="restart"/>
            <w:shd w:val="clear" w:color="auto" w:fill="auto"/>
            <w:vAlign w:val="center"/>
          </w:tcPr>
          <w:p>
            <w:pPr>
              <w:jc w:val="left"/>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学生发展</w:t>
            </w: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5</w:t>
            </w:r>
            <w:r>
              <w:rPr>
                <w:rFonts w:hint="eastAsia" w:ascii="宋体" w:hAnsi="宋体" w:cs="宋体"/>
                <w:spacing w:val="-6"/>
                <w:kern w:val="0"/>
                <w:sz w:val="20"/>
                <w:szCs w:val="20"/>
              </w:rPr>
              <w:t>.1招生及生源情况</w:t>
            </w:r>
          </w:p>
        </w:tc>
        <w:tc>
          <w:tcPr>
            <w:tcW w:w="3953" w:type="dxa"/>
            <w:shd w:val="clear" w:color="auto" w:fill="auto"/>
            <w:vAlign w:val="center"/>
          </w:tcPr>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（1）学校总体生源状况</w:t>
            </w:r>
          </w:p>
          <w:p>
            <w:pPr>
              <w:ind w:hanging="13"/>
              <w:rPr>
                <w:rFonts w:ascii="宋体" w:hAnsi="宋体" w:cs="宋体"/>
                <w:kern w:val="0"/>
                <w:sz w:val="20"/>
                <w:szCs w:val="20"/>
              </w:rPr>
            </w:pPr>
            <w:r>
              <w:rPr>
                <w:rFonts w:hint="eastAsia" w:ascii="宋体" w:hAnsi="宋体" w:cs="宋体"/>
                <w:kern w:val="0"/>
                <w:sz w:val="20"/>
                <w:szCs w:val="20"/>
              </w:rPr>
              <w:t>（2）各专业生源数量及特征</w:t>
            </w:r>
          </w:p>
        </w:tc>
        <w:tc>
          <w:tcPr>
            <w:tcW w:w="1101" w:type="dxa"/>
            <w:vMerge w:val="restart"/>
            <w:shd w:val="clear" w:color="auto" w:fill="auto"/>
            <w:vAlign w:val="center"/>
          </w:tcPr>
          <w:p>
            <w:pPr>
              <w:jc w:val="center"/>
              <w:rPr>
                <w:rFonts w:ascii="宋体" w:cs="宋体"/>
                <w:kern w:val="0"/>
                <w:sz w:val="20"/>
                <w:szCs w:val="20"/>
              </w:rPr>
            </w:pPr>
            <w:r>
              <w:rPr>
                <w:rFonts w:hint="eastAsia" w:ascii="宋体" w:hAnsi="宋体" w:cs="宋体"/>
                <w:kern w:val="0"/>
                <w:sz w:val="20"/>
                <w:szCs w:val="20"/>
              </w:rPr>
              <w:t>学工处</w:t>
            </w:r>
          </w:p>
        </w:tc>
        <w:tc>
          <w:tcPr>
            <w:tcW w:w="1444"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教务处</w:t>
            </w:r>
          </w:p>
          <w:p>
            <w:pPr>
              <w:widowControl/>
              <w:jc w:val="center"/>
              <w:rPr>
                <w:rFonts w:ascii="宋体" w:hAnsi="宋体" w:cs="宋体"/>
                <w:kern w:val="0"/>
                <w:sz w:val="20"/>
                <w:szCs w:val="20"/>
              </w:rPr>
            </w:pPr>
            <w:r>
              <w:rPr>
                <w:rFonts w:hint="eastAsia" w:ascii="宋体" w:hAnsi="宋体" w:cs="宋体"/>
                <w:kern w:val="0"/>
                <w:sz w:val="20"/>
                <w:szCs w:val="20"/>
              </w:rPr>
              <w:t>团委</w:t>
            </w:r>
          </w:p>
          <w:p>
            <w:pPr>
              <w:widowControl/>
              <w:jc w:val="center"/>
              <w:rPr>
                <w:rFonts w:ascii="宋体" w:cs="宋体"/>
                <w:kern w:val="0"/>
                <w:sz w:val="20"/>
                <w:szCs w:val="20"/>
              </w:rPr>
            </w:pPr>
            <w:r>
              <w:rPr>
                <w:rFonts w:hint="eastAsia" w:ascii="宋体" w:hAns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582" w:type="dxa"/>
            <w:vMerge w:val="continue"/>
            <w:shd w:val="clear" w:color="auto" w:fill="auto"/>
            <w:vAlign w:val="center"/>
          </w:tcPr>
          <w:p>
            <w:pPr>
              <w:widowControl/>
              <w:jc w:val="left"/>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hint="eastAsia" w:ascii="宋体" w:hAnsi="宋体" w:cs="宋体"/>
                <w:spacing w:val="-6"/>
                <w:kern w:val="0"/>
                <w:sz w:val="20"/>
                <w:szCs w:val="20"/>
              </w:rPr>
              <w:t>5.2学生指导与服务</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）学生指导与服务的内容及效果</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）学生指导与服务的组织与条件保障</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）学生对指导与服务的评价</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continue"/>
            <w:shd w:val="clear" w:color="auto" w:fill="auto"/>
            <w:vAlign w:val="center"/>
          </w:tcPr>
          <w:p>
            <w:pPr>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582" w:type="dxa"/>
            <w:vMerge w:val="continue"/>
            <w:shd w:val="clear" w:color="auto" w:fill="auto"/>
          </w:tcPr>
          <w:p>
            <w:pPr>
              <w:jc w:val="center"/>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hint="eastAsia" w:ascii="宋体" w:hAnsi="宋体" w:cs="宋体"/>
                <w:spacing w:val="-6"/>
                <w:kern w:val="0"/>
                <w:sz w:val="20"/>
                <w:szCs w:val="20"/>
              </w:rPr>
              <w:t>5.3学风与学习效果</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）学风建设的措施与效果</w:t>
            </w:r>
          </w:p>
          <w:p>
            <w:pPr>
              <w:ind w:hanging="13"/>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）学生学业成绩及综合素质表现</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）学生对自我学习与成长的满意度</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continue"/>
            <w:shd w:val="clear" w:color="auto" w:fill="auto"/>
            <w:vAlign w:val="center"/>
          </w:tcPr>
          <w:p>
            <w:pPr>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582" w:type="dxa"/>
            <w:vMerge w:val="continue"/>
            <w:shd w:val="clear" w:color="auto" w:fill="auto"/>
            <w:vAlign w:val="center"/>
          </w:tcPr>
          <w:p>
            <w:pPr>
              <w:jc w:val="center"/>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5.4</w:t>
            </w:r>
            <w:r>
              <w:rPr>
                <w:rFonts w:hint="eastAsia" w:ascii="宋体" w:hAnsi="宋体" w:cs="宋体"/>
                <w:kern w:val="0"/>
                <w:sz w:val="20"/>
                <w:szCs w:val="20"/>
              </w:rPr>
              <w:t>就业与发展</w:t>
            </w:r>
          </w:p>
        </w:tc>
        <w:tc>
          <w:tcPr>
            <w:tcW w:w="3953" w:type="dxa"/>
            <w:shd w:val="clear" w:color="auto" w:fill="auto"/>
            <w:vAlign w:val="center"/>
          </w:tcPr>
          <w:p>
            <w:pPr>
              <w:ind w:hanging="13"/>
              <w:rPr>
                <w:rFonts w:ascii="宋体" w:hAnsi="宋体" w:cs="宋体"/>
                <w:kern w:val="0"/>
                <w:sz w:val="20"/>
                <w:szCs w:val="20"/>
              </w:rPr>
            </w:pPr>
            <w:r>
              <w:rPr>
                <w:rFonts w:hint="eastAsia" w:ascii="宋体" w:hAnsi="宋体" w:cs="宋体"/>
                <w:kern w:val="0"/>
                <w:sz w:val="20"/>
                <w:szCs w:val="20"/>
              </w:rPr>
              <w:t>（1）毕业生就业率与职业发展情况</w:t>
            </w:r>
          </w:p>
          <w:p>
            <w:pPr>
              <w:ind w:hanging="13"/>
              <w:rPr>
                <w:rFonts w:ascii="宋体" w:hAnsi="宋体" w:cs="宋体"/>
                <w:kern w:val="0"/>
                <w:sz w:val="20"/>
                <w:szCs w:val="20"/>
              </w:rPr>
            </w:pPr>
            <w:r>
              <w:rPr>
                <w:rFonts w:hint="eastAsia" w:ascii="宋体" w:hAnsi="宋体" w:cs="宋体"/>
                <w:kern w:val="0"/>
                <w:sz w:val="20"/>
                <w:szCs w:val="20"/>
              </w:rPr>
              <w:t>（2）用人单位对毕业生评价</w:t>
            </w:r>
          </w:p>
        </w:tc>
        <w:tc>
          <w:tcPr>
            <w:tcW w:w="1101" w:type="dxa"/>
            <w:vMerge w:val="continue"/>
            <w:shd w:val="clear" w:color="auto" w:fill="auto"/>
            <w:vAlign w:val="center"/>
          </w:tcPr>
          <w:p>
            <w:pPr>
              <w:widowControl/>
              <w:jc w:val="center"/>
              <w:rPr>
                <w:rFonts w:ascii="宋体" w:cs="宋体"/>
                <w:kern w:val="0"/>
                <w:sz w:val="20"/>
                <w:szCs w:val="20"/>
              </w:rPr>
            </w:pPr>
          </w:p>
        </w:tc>
        <w:tc>
          <w:tcPr>
            <w:tcW w:w="1444" w:type="dxa"/>
            <w:vMerge w:val="continue"/>
            <w:shd w:val="clear" w:color="auto" w:fill="auto"/>
            <w:vAlign w:val="center"/>
          </w:tcPr>
          <w:p>
            <w:pPr>
              <w:widowControl/>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582" w:type="dxa"/>
            <w:vMerge w:val="restart"/>
            <w:shd w:val="clear" w:color="auto" w:fill="auto"/>
            <w:vAlign w:val="center"/>
          </w:tcPr>
          <w:p>
            <w:pPr>
              <w:jc w:val="center"/>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质量保障</w:t>
            </w:r>
          </w:p>
        </w:tc>
        <w:tc>
          <w:tcPr>
            <w:tcW w:w="1862" w:type="dxa"/>
            <w:shd w:val="clear" w:color="auto" w:fill="auto"/>
            <w:vAlign w:val="center"/>
          </w:tcPr>
          <w:p>
            <w:pPr>
              <w:widowControl/>
              <w:jc w:val="left"/>
              <w:rPr>
                <w:rFonts w:ascii="宋体" w:cs="宋体"/>
                <w:kern w:val="0"/>
                <w:sz w:val="20"/>
                <w:szCs w:val="20"/>
              </w:rPr>
            </w:pPr>
            <w:r>
              <w:rPr>
                <w:rFonts w:ascii="宋体" w:hAnsi="宋体" w:cs="宋体"/>
                <w:kern w:val="0"/>
                <w:sz w:val="20"/>
                <w:szCs w:val="20"/>
              </w:rPr>
              <w:t>6.1</w:t>
            </w:r>
            <w:r>
              <w:rPr>
                <w:rFonts w:hint="eastAsia" w:ascii="宋体" w:hAnsi="宋体" w:cs="宋体"/>
                <w:kern w:val="0"/>
                <w:sz w:val="20"/>
                <w:szCs w:val="20"/>
              </w:rPr>
              <w:t>教学质量保障体系</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）质量标准建设</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）学校质量保障模式及体系结构</w:t>
            </w:r>
          </w:p>
          <w:p>
            <w:pPr>
              <w:ind w:hanging="13"/>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）质量保障体系的组织、制度建设</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）教学质量管理队伍建设</w:t>
            </w:r>
          </w:p>
        </w:tc>
        <w:tc>
          <w:tcPr>
            <w:tcW w:w="1101" w:type="dxa"/>
            <w:vMerge w:val="restart"/>
            <w:shd w:val="clear" w:color="auto" w:fill="auto"/>
            <w:vAlign w:val="center"/>
          </w:tcPr>
          <w:p>
            <w:pPr>
              <w:jc w:val="center"/>
              <w:rPr>
                <w:rFonts w:ascii="宋体" w:cs="宋体"/>
                <w:kern w:val="0"/>
                <w:sz w:val="20"/>
                <w:szCs w:val="20"/>
              </w:rPr>
            </w:pPr>
            <w:r>
              <w:rPr>
                <w:rFonts w:hint="eastAsia" w:ascii="宋体" w:hAnsi="宋体" w:cs="宋体"/>
                <w:kern w:val="0"/>
                <w:sz w:val="20"/>
                <w:szCs w:val="20"/>
              </w:rPr>
              <w:t>教务处</w:t>
            </w:r>
          </w:p>
        </w:tc>
        <w:tc>
          <w:tcPr>
            <w:tcW w:w="1444" w:type="dxa"/>
            <w:vMerge w:val="restart"/>
            <w:shd w:val="clear" w:color="auto" w:fill="auto"/>
            <w:vAlign w:val="center"/>
          </w:tcPr>
          <w:p>
            <w:pPr>
              <w:widowControl/>
              <w:jc w:val="center"/>
              <w:rPr>
                <w:rFonts w:ascii="宋体" w:cs="宋体"/>
                <w:kern w:val="0"/>
                <w:sz w:val="20"/>
                <w:szCs w:val="20"/>
              </w:rPr>
            </w:pPr>
            <w:r>
              <w:rPr>
                <w:rFonts w:hint="eastAsia" w:ascii="宋体" w:cs="宋体"/>
                <w:kern w:val="0"/>
                <w:sz w:val="20"/>
                <w:szCs w:val="20"/>
              </w:rPr>
              <w:t>学工处</w:t>
            </w:r>
          </w:p>
          <w:p>
            <w:pPr>
              <w:widowControl/>
              <w:jc w:val="center"/>
              <w:rPr>
                <w:rFonts w:ascii="宋体" w:cs="宋体"/>
                <w:kern w:val="0"/>
                <w:sz w:val="20"/>
                <w:szCs w:val="20"/>
              </w:rPr>
            </w:pPr>
            <w:r>
              <w:rPr>
                <w:rFonts w:hint="eastAsia" w:ascii="宋体" w:cs="宋体"/>
                <w:kern w:val="0"/>
                <w:sz w:val="20"/>
                <w:szCs w:val="20"/>
              </w:rPr>
              <w:t>各院部系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582" w:type="dxa"/>
            <w:vMerge w:val="continue"/>
            <w:shd w:val="clear" w:color="auto" w:fill="auto"/>
            <w:vAlign w:val="center"/>
          </w:tcPr>
          <w:p>
            <w:pPr>
              <w:jc w:val="center"/>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6.2</w:t>
            </w:r>
            <w:r>
              <w:rPr>
                <w:rFonts w:hint="eastAsia" w:ascii="宋体" w:hAnsi="宋体" w:cs="宋体"/>
                <w:kern w:val="0"/>
                <w:sz w:val="20"/>
                <w:szCs w:val="20"/>
              </w:rPr>
              <w:t>质量监控</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）自我评估及质量监控的内容与方式</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）自我评估及质量监控的实施效果</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continue"/>
            <w:shd w:val="clear" w:color="auto" w:fill="auto"/>
            <w:vAlign w:val="center"/>
          </w:tcPr>
          <w:p>
            <w:pPr>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582" w:type="dxa"/>
            <w:vMerge w:val="continue"/>
            <w:shd w:val="clear" w:color="auto" w:fill="auto"/>
            <w:vAlign w:val="center"/>
          </w:tcPr>
          <w:p>
            <w:pPr>
              <w:jc w:val="center"/>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hint="eastAsia" w:ascii="宋体" w:hAnsi="宋体" w:cs="宋体"/>
                <w:spacing w:val="-6"/>
                <w:kern w:val="0"/>
                <w:sz w:val="20"/>
                <w:szCs w:val="20"/>
              </w:rPr>
              <w:t>6.3质量信息及利用</w:t>
            </w:r>
          </w:p>
        </w:tc>
        <w:tc>
          <w:tcPr>
            <w:tcW w:w="3953" w:type="dxa"/>
            <w:shd w:val="clear" w:color="auto" w:fill="auto"/>
            <w:vAlign w:val="center"/>
          </w:tcPr>
          <w:p>
            <w:pPr>
              <w:adjustRightInd w:val="0"/>
              <w:spacing w:line="180" w:lineRule="auto"/>
              <w:ind w:hanging="13"/>
              <w:rPr>
                <w:rFonts w:ascii="宋体" w:hAnsi="宋体" w:cs="宋体"/>
                <w:kern w:val="0"/>
                <w:sz w:val="20"/>
                <w:szCs w:val="20"/>
              </w:rPr>
            </w:pPr>
            <w:r>
              <w:rPr>
                <w:rFonts w:hint="eastAsia" w:ascii="宋体" w:hAnsi="宋体" w:cs="宋体"/>
                <w:kern w:val="0"/>
                <w:sz w:val="20"/>
                <w:szCs w:val="20"/>
              </w:rPr>
              <w:t>（1）校内教学基本状态数据库建设情况</w:t>
            </w:r>
          </w:p>
          <w:p>
            <w:pPr>
              <w:adjustRightInd w:val="0"/>
              <w:spacing w:line="120" w:lineRule="auto"/>
              <w:ind w:hanging="11"/>
              <w:rPr>
                <w:rFonts w:ascii="宋体" w:hAnsi="宋体" w:cs="宋体"/>
                <w:kern w:val="0"/>
                <w:sz w:val="20"/>
                <w:szCs w:val="20"/>
              </w:rPr>
            </w:pPr>
            <w:r>
              <w:rPr>
                <w:rFonts w:hint="eastAsia" w:ascii="宋体" w:hAnsi="宋体" w:cs="宋体"/>
                <w:kern w:val="0"/>
                <w:sz w:val="20"/>
                <w:szCs w:val="20"/>
              </w:rPr>
              <w:t>（2）质量信息统计、分析、反馈机制</w:t>
            </w:r>
          </w:p>
          <w:p>
            <w:pPr>
              <w:ind w:hanging="13"/>
              <w:rPr>
                <w:rFonts w:ascii="宋体" w:hAnsi="宋体" w:cs="宋体"/>
                <w:kern w:val="0"/>
                <w:sz w:val="20"/>
                <w:szCs w:val="20"/>
              </w:rPr>
            </w:pPr>
            <w:r>
              <w:rPr>
                <w:rFonts w:hint="eastAsia" w:ascii="宋体" w:hAnsi="宋体" w:cs="宋体"/>
                <w:kern w:val="0"/>
                <w:sz w:val="20"/>
                <w:szCs w:val="20"/>
              </w:rPr>
              <w:t>（3）质量信息公开及年度质量报告</w:t>
            </w:r>
          </w:p>
        </w:tc>
        <w:tc>
          <w:tcPr>
            <w:tcW w:w="1101" w:type="dxa"/>
            <w:vMerge w:val="continue"/>
            <w:shd w:val="clear" w:color="auto" w:fill="auto"/>
            <w:vAlign w:val="center"/>
          </w:tcPr>
          <w:p>
            <w:pPr>
              <w:jc w:val="center"/>
              <w:rPr>
                <w:rFonts w:ascii="宋体" w:cs="宋体"/>
                <w:kern w:val="0"/>
                <w:sz w:val="20"/>
                <w:szCs w:val="20"/>
              </w:rPr>
            </w:pPr>
          </w:p>
        </w:tc>
        <w:tc>
          <w:tcPr>
            <w:tcW w:w="1444"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582" w:type="dxa"/>
            <w:vMerge w:val="continue"/>
            <w:shd w:val="clear" w:color="auto" w:fill="auto"/>
            <w:vAlign w:val="center"/>
          </w:tcPr>
          <w:p>
            <w:pPr>
              <w:jc w:val="center"/>
              <w:rPr>
                <w:rFonts w:ascii="宋体" w:cs="宋体"/>
                <w:kern w:val="0"/>
                <w:sz w:val="20"/>
                <w:szCs w:val="20"/>
              </w:rPr>
            </w:pPr>
          </w:p>
        </w:tc>
        <w:tc>
          <w:tcPr>
            <w:tcW w:w="1862" w:type="dxa"/>
            <w:shd w:val="clear" w:color="auto" w:fill="auto"/>
            <w:vAlign w:val="center"/>
          </w:tcPr>
          <w:p>
            <w:pPr>
              <w:ind w:hanging="13"/>
              <w:jc w:val="left"/>
              <w:rPr>
                <w:rFonts w:ascii="宋体" w:cs="宋体"/>
                <w:kern w:val="0"/>
                <w:sz w:val="20"/>
                <w:szCs w:val="20"/>
              </w:rPr>
            </w:pPr>
            <w:r>
              <w:rPr>
                <w:rFonts w:ascii="宋体" w:hAnsi="宋体" w:cs="宋体"/>
                <w:kern w:val="0"/>
                <w:sz w:val="20"/>
                <w:szCs w:val="20"/>
              </w:rPr>
              <w:t>6.4</w:t>
            </w:r>
            <w:r>
              <w:rPr>
                <w:rFonts w:hint="eastAsia" w:ascii="宋体" w:hAnsi="宋体" w:cs="宋体"/>
                <w:kern w:val="0"/>
                <w:sz w:val="20"/>
                <w:szCs w:val="20"/>
              </w:rPr>
              <w:t>质量改进</w:t>
            </w:r>
          </w:p>
        </w:tc>
        <w:tc>
          <w:tcPr>
            <w:tcW w:w="3953" w:type="dxa"/>
            <w:shd w:val="clear" w:color="auto" w:fill="auto"/>
            <w:vAlign w:val="center"/>
          </w:tcPr>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）质量改进的途径与方法</w:t>
            </w:r>
          </w:p>
          <w:p>
            <w:pPr>
              <w:ind w:hanging="13"/>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）质量改进的效果与评价</w:t>
            </w:r>
          </w:p>
        </w:tc>
        <w:tc>
          <w:tcPr>
            <w:tcW w:w="1101" w:type="dxa"/>
            <w:vMerge w:val="continue"/>
            <w:shd w:val="clear" w:color="auto" w:fill="auto"/>
            <w:vAlign w:val="center"/>
          </w:tcPr>
          <w:p>
            <w:pPr>
              <w:widowControl/>
              <w:jc w:val="center"/>
              <w:rPr>
                <w:rFonts w:ascii="宋体" w:cs="宋体"/>
                <w:kern w:val="0"/>
                <w:sz w:val="20"/>
                <w:szCs w:val="20"/>
              </w:rPr>
            </w:pPr>
          </w:p>
        </w:tc>
        <w:tc>
          <w:tcPr>
            <w:tcW w:w="1444" w:type="dxa"/>
            <w:vMerge w:val="continue"/>
            <w:shd w:val="clear" w:color="auto" w:fill="auto"/>
            <w:vAlign w:val="center"/>
          </w:tcPr>
          <w:p>
            <w:pPr>
              <w:widowControl/>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582" w:type="dxa"/>
            <w:shd w:val="clear" w:color="auto" w:fill="auto"/>
            <w:vAlign w:val="center"/>
          </w:tcPr>
          <w:p>
            <w:pPr>
              <w:jc w:val="center"/>
              <w:rPr>
                <w:rFonts w:ascii="宋体" w:cs="宋体"/>
                <w:kern w:val="0"/>
                <w:sz w:val="20"/>
                <w:szCs w:val="20"/>
              </w:rPr>
            </w:pPr>
            <w:r>
              <w:rPr>
                <w:rFonts w:hint="eastAsia" w:ascii="宋体" w:hAnsi="宋体" w:cs="宋体"/>
                <w:kern w:val="0"/>
                <w:sz w:val="20"/>
                <w:szCs w:val="20"/>
              </w:rPr>
              <w:t>7．特色项目</w:t>
            </w:r>
          </w:p>
        </w:tc>
        <w:tc>
          <w:tcPr>
            <w:tcW w:w="1862" w:type="dxa"/>
            <w:shd w:val="clear" w:color="auto" w:fill="auto"/>
            <w:vAlign w:val="center"/>
          </w:tcPr>
          <w:p>
            <w:pPr>
              <w:ind w:hanging="13"/>
              <w:jc w:val="left"/>
              <w:rPr>
                <w:rFonts w:ascii="宋体" w:hAnsi="宋体" w:cs="宋体"/>
                <w:kern w:val="0"/>
                <w:sz w:val="20"/>
                <w:szCs w:val="20"/>
              </w:rPr>
            </w:pPr>
          </w:p>
        </w:tc>
        <w:tc>
          <w:tcPr>
            <w:tcW w:w="3953" w:type="dxa"/>
            <w:shd w:val="clear" w:color="auto" w:fill="auto"/>
            <w:vAlign w:val="center"/>
          </w:tcPr>
          <w:p>
            <w:pPr>
              <w:ind w:hanging="13"/>
              <w:rPr>
                <w:rFonts w:ascii="宋体" w:hAnsi="宋体" w:cs="宋体"/>
                <w:kern w:val="0"/>
                <w:sz w:val="20"/>
                <w:szCs w:val="20"/>
              </w:rPr>
            </w:pPr>
          </w:p>
        </w:tc>
        <w:tc>
          <w:tcPr>
            <w:tcW w:w="1101" w:type="dxa"/>
            <w:shd w:val="clear" w:color="auto" w:fill="auto"/>
            <w:vAlign w:val="center"/>
          </w:tcPr>
          <w:p>
            <w:pPr>
              <w:widowControl/>
              <w:jc w:val="center"/>
              <w:rPr>
                <w:rFonts w:ascii="宋体" w:cs="宋体"/>
                <w:kern w:val="0"/>
                <w:sz w:val="20"/>
                <w:szCs w:val="20"/>
              </w:rPr>
            </w:pPr>
            <w:r>
              <w:rPr>
                <w:rFonts w:hint="eastAsia" w:ascii="宋体" w:hAnsi="宋体" w:cs="宋体"/>
                <w:kern w:val="0"/>
                <w:sz w:val="20"/>
                <w:szCs w:val="20"/>
              </w:rPr>
              <w:t>教务处</w:t>
            </w:r>
          </w:p>
        </w:tc>
        <w:tc>
          <w:tcPr>
            <w:tcW w:w="144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党办</w:t>
            </w:r>
          </w:p>
          <w:p>
            <w:pPr>
              <w:widowControl/>
              <w:jc w:val="center"/>
              <w:rPr>
                <w:rFonts w:ascii="宋体" w:hAnsi="宋体" w:cs="宋体"/>
                <w:kern w:val="0"/>
                <w:sz w:val="20"/>
                <w:szCs w:val="20"/>
              </w:rPr>
            </w:pPr>
            <w:r>
              <w:rPr>
                <w:rFonts w:hint="eastAsia" w:ascii="宋体" w:hAnsi="宋体" w:cs="宋体"/>
                <w:kern w:val="0"/>
                <w:sz w:val="20"/>
                <w:szCs w:val="20"/>
              </w:rPr>
              <w:t>校办</w:t>
            </w:r>
          </w:p>
          <w:p>
            <w:pPr>
              <w:widowControl/>
              <w:jc w:val="center"/>
              <w:rPr>
                <w:rFonts w:ascii="宋体" w:cs="宋体"/>
                <w:kern w:val="0"/>
                <w:sz w:val="20"/>
                <w:szCs w:val="20"/>
              </w:rPr>
            </w:pPr>
            <w:r>
              <w:rPr>
                <w:rFonts w:hint="eastAsia" w:ascii="宋体" w:hAnsi="宋体" w:cs="宋体"/>
                <w:kern w:val="0"/>
                <w:sz w:val="20"/>
                <w:szCs w:val="20"/>
              </w:rPr>
              <w:t>宣传部</w:t>
            </w:r>
          </w:p>
        </w:tc>
      </w:tr>
    </w:tbl>
    <w:p>
      <w:pPr>
        <w:spacing w:line="360" w:lineRule="auto"/>
        <w:rPr>
          <w:rFonts w:ascii="宋体" w:cs="宋体"/>
          <w:b/>
          <w:bCs/>
          <w:color w:val="000000"/>
          <w:kern w:val="0"/>
          <w:sz w:val="28"/>
          <w:szCs w:val="28"/>
        </w:rPr>
      </w:pPr>
      <w:r>
        <w:rPr>
          <w:rFonts w:hint="eastAsia" w:ascii="宋体" w:cs="宋体"/>
          <w:b/>
          <w:bCs/>
          <w:color w:val="000000"/>
          <w:kern w:val="0"/>
          <w:sz w:val="28"/>
          <w:szCs w:val="28"/>
        </w:rPr>
        <w:t xml:space="preserve">   </w:t>
      </w:r>
    </w:p>
    <w:tbl>
      <w:tblPr>
        <w:tblStyle w:val="17"/>
        <w:tblpPr w:leftFromText="180" w:rightFromText="180" w:vertAnchor="text" w:horzAnchor="page" w:tblpX="1495" w:tblpY="12062"/>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left w:val="nil"/>
              <w:right w:val="nil"/>
            </w:tcBorders>
          </w:tcPr>
          <w:p>
            <w:pPr>
              <w:spacing w:line="360" w:lineRule="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color w:val="000000"/>
                <w:kern w:val="0"/>
                <w:sz w:val="28"/>
                <w:szCs w:val="28"/>
              </w:rPr>
              <w:t xml:space="preserve">  中国药科大学校长办公室                   2016年4月20日印发  </w:t>
            </w:r>
          </w:p>
        </w:tc>
      </w:tr>
    </w:tbl>
    <w:p>
      <w:pPr>
        <w:spacing w:line="360" w:lineRule="auto"/>
        <w:rPr>
          <w:rFonts w:ascii="宋体" w:cs="宋体"/>
          <w:b/>
          <w:bCs/>
          <w:color w:val="000000"/>
          <w:kern w:val="0"/>
          <w:sz w:val="28"/>
          <w:szCs w:val="28"/>
        </w:rPr>
      </w:pPr>
    </w:p>
    <w:sectPr>
      <w:footerReference r:id="rId3" w:type="default"/>
      <w:footerReference r:id="rId4" w:type="even"/>
      <w:pgSz w:w="11906" w:h="16838"/>
      <w:pgMar w:top="2041" w:right="1531" w:bottom="2041" w:left="1531" w:header="851" w:footer="992"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altName w:val="Bookshelf Symbol 7"/>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Calibri">
    <w:panose1 w:val="020F0502020204030204"/>
    <w:charset w:val="00"/>
    <w:family w:val="decorative"/>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altName w:val="Bookshelf Symbol 7"/>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黑体">
    <w:panose1 w:val="02010600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roman"/>
    <w:pitch w:val="default"/>
    <w:sig w:usb0="00007A87" w:usb1="80000000" w:usb2="00000008" w:usb3="00000000" w:csb0="400001FF" w:csb1="FFFF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altName w:val="Bookshelf Symbol 7"/>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9"/>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t>- 1 -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95"/>
    <w:rsid w:val="00003022"/>
    <w:rsid w:val="00005DCC"/>
    <w:rsid w:val="0000726B"/>
    <w:rsid w:val="00011B30"/>
    <w:rsid w:val="00053CA2"/>
    <w:rsid w:val="00054FED"/>
    <w:rsid w:val="000558A9"/>
    <w:rsid w:val="00076EC3"/>
    <w:rsid w:val="00080AA2"/>
    <w:rsid w:val="00080C33"/>
    <w:rsid w:val="00085021"/>
    <w:rsid w:val="0009141C"/>
    <w:rsid w:val="00094C2D"/>
    <w:rsid w:val="000A02F3"/>
    <w:rsid w:val="000B23DA"/>
    <w:rsid w:val="000C6C9B"/>
    <w:rsid w:val="000D44EB"/>
    <w:rsid w:val="000D537F"/>
    <w:rsid w:val="000E2138"/>
    <w:rsid w:val="000E2B36"/>
    <w:rsid w:val="000E649E"/>
    <w:rsid w:val="000F1B77"/>
    <w:rsid w:val="000F1BD5"/>
    <w:rsid w:val="00100734"/>
    <w:rsid w:val="001013BB"/>
    <w:rsid w:val="001039A0"/>
    <w:rsid w:val="00122C72"/>
    <w:rsid w:val="00133413"/>
    <w:rsid w:val="00133F87"/>
    <w:rsid w:val="0013710C"/>
    <w:rsid w:val="00140140"/>
    <w:rsid w:val="00147762"/>
    <w:rsid w:val="00152FBC"/>
    <w:rsid w:val="00156741"/>
    <w:rsid w:val="00160842"/>
    <w:rsid w:val="0016645E"/>
    <w:rsid w:val="001849B0"/>
    <w:rsid w:val="00196F1C"/>
    <w:rsid w:val="001A621F"/>
    <w:rsid w:val="001B0032"/>
    <w:rsid w:val="001B636F"/>
    <w:rsid w:val="001C0595"/>
    <w:rsid w:val="001D72BF"/>
    <w:rsid w:val="001E21F4"/>
    <w:rsid w:val="001E6383"/>
    <w:rsid w:val="001F2164"/>
    <w:rsid w:val="002123B0"/>
    <w:rsid w:val="00241989"/>
    <w:rsid w:val="00241B7A"/>
    <w:rsid w:val="00241EFB"/>
    <w:rsid w:val="00254B79"/>
    <w:rsid w:val="00257386"/>
    <w:rsid w:val="00265A64"/>
    <w:rsid w:val="002809E7"/>
    <w:rsid w:val="002A0299"/>
    <w:rsid w:val="002B7F70"/>
    <w:rsid w:val="002C52F5"/>
    <w:rsid w:val="002E4DA4"/>
    <w:rsid w:val="002E5D09"/>
    <w:rsid w:val="00314566"/>
    <w:rsid w:val="003160DF"/>
    <w:rsid w:val="00326405"/>
    <w:rsid w:val="00332DE6"/>
    <w:rsid w:val="00345D2C"/>
    <w:rsid w:val="00363CC9"/>
    <w:rsid w:val="0037288E"/>
    <w:rsid w:val="003730D2"/>
    <w:rsid w:val="00374AF4"/>
    <w:rsid w:val="003938D3"/>
    <w:rsid w:val="00395D1D"/>
    <w:rsid w:val="00396DDA"/>
    <w:rsid w:val="003A5009"/>
    <w:rsid w:val="003A5E07"/>
    <w:rsid w:val="003B1ADC"/>
    <w:rsid w:val="003B57E0"/>
    <w:rsid w:val="003C140B"/>
    <w:rsid w:val="003D0738"/>
    <w:rsid w:val="003D2C38"/>
    <w:rsid w:val="003D3F4F"/>
    <w:rsid w:val="003E78B5"/>
    <w:rsid w:val="003E79A0"/>
    <w:rsid w:val="003F75F8"/>
    <w:rsid w:val="003F7D8B"/>
    <w:rsid w:val="0040585C"/>
    <w:rsid w:val="00411063"/>
    <w:rsid w:val="00411572"/>
    <w:rsid w:val="00413F4B"/>
    <w:rsid w:val="00414412"/>
    <w:rsid w:val="00416430"/>
    <w:rsid w:val="00423670"/>
    <w:rsid w:val="004335E4"/>
    <w:rsid w:val="00433C87"/>
    <w:rsid w:val="00440E9E"/>
    <w:rsid w:val="00442382"/>
    <w:rsid w:val="00452F29"/>
    <w:rsid w:val="004548E7"/>
    <w:rsid w:val="00460343"/>
    <w:rsid w:val="0046203F"/>
    <w:rsid w:val="004670CF"/>
    <w:rsid w:val="0047130B"/>
    <w:rsid w:val="00473E43"/>
    <w:rsid w:val="004756D8"/>
    <w:rsid w:val="00480102"/>
    <w:rsid w:val="00486F99"/>
    <w:rsid w:val="004876DE"/>
    <w:rsid w:val="00491C4E"/>
    <w:rsid w:val="004A03FE"/>
    <w:rsid w:val="004A20BA"/>
    <w:rsid w:val="004B50CD"/>
    <w:rsid w:val="004B6C44"/>
    <w:rsid w:val="004C4EF2"/>
    <w:rsid w:val="004C50BF"/>
    <w:rsid w:val="004D278E"/>
    <w:rsid w:val="004D282E"/>
    <w:rsid w:val="004D6788"/>
    <w:rsid w:val="004D78B4"/>
    <w:rsid w:val="004F1D03"/>
    <w:rsid w:val="004F298D"/>
    <w:rsid w:val="00502A97"/>
    <w:rsid w:val="00503A38"/>
    <w:rsid w:val="00513DF5"/>
    <w:rsid w:val="00523194"/>
    <w:rsid w:val="0052413D"/>
    <w:rsid w:val="005309CE"/>
    <w:rsid w:val="00547D09"/>
    <w:rsid w:val="005573DA"/>
    <w:rsid w:val="00565067"/>
    <w:rsid w:val="00567873"/>
    <w:rsid w:val="00570895"/>
    <w:rsid w:val="00573805"/>
    <w:rsid w:val="00576BCE"/>
    <w:rsid w:val="005810A7"/>
    <w:rsid w:val="00582DC0"/>
    <w:rsid w:val="00585704"/>
    <w:rsid w:val="005A2198"/>
    <w:rsid w:val="005A3B1B"/>
    <w:rsid w:val="005A4C41"/>
    <w:rsid w:val="005B6766"/>
    <w:rsid w:val="005C2599"/>
    <w:rsid w:val="005C5FAC"/>
    <w:rsid w:val="005E039B"/>
    <w:rsid w:val="006025A1"/>
    <w:rsid w:val="00602724"/>
    <w:rsid w:val="00605477"/>
    <w:rsid w:val="0061049F"/>
    <w:rsid w:val="00615166"/>
    <w:rsid w:val="00635CC1"/>
    <w:rsid w:val="006372C5"/>
    <w:rsid w:val="0063762E"/>
    <w:rsid w:val="00641381"/>
    <w:rsid w:val="0064747A"/>
    <w:rsid w:val="006547CB"/>
    <w:rsid w:val="00657C00"/>
    <w:rsid w:val="00661644"/>
    <w:rsid w:val="006653D8"/>
    <w:rsid w:val="006661BD"/>
    <w:rsid w:val="00682814"/>
    <w:rsid w:val="00684A46"/>
    <w:rsid w:val="006936C4"/>
    <w:rsid w:val="00694FF1"/>
    <w:rsid w:val="0069721A"/>
    <w:rsid w:val="006B768F"/>
    <w:rsid w:val="006D09B1"/>
    <w:rsid w:val="006D5243"/>
    <w:rsid w:val="006D5C06"/>
    <w:rsid w:val="006E24BA"/>
    <w:rsid w:val="006E382A"/>
    <w:rsid w:val="006E3B47"/>
    <w:rsid w:val="006E6E00"/>
    <w:rsid w:val="006F6146"/>
    <w:rsid w:val="00701297"/>
    <w:rsid w:val="00703C35"/>
    <w:rsid w:val="00704B40"/>
    <w:rsid w:val="00707441"/>
    <w:rsid w:val="007106CC"/>
    <w:rsid w:val="00711679"/>
    <w:rsid w:val="00711D73"/>
    <w:rsid w:val="007147DE"/>
    <w:rsid w:val="00723C86"/>
    <w:rsid w:val="007245DB"/>
    <w:rsid w:val="00740C3C"/>
    <w:rsid w:val="007541EC"/>
    <w:rsid w:val="0076147A"/>
    <w:rsid w:val="00761AB3"/>
    <w:rsid w:val="007655A3"/>
    <w:rsid w:val="00771E8A"/>
    <w:rsid w:val="00777DEB"/>
    <w:rsid w:val="0078035A"/>
    <w:rsid w:val="00784F38"/>
    <w:rsid w:val="007A1121"/>
    <w:rsid w:val="007A20D9"/>
    <w:rsid w:val="007A4B4E"/>
    <w:rsid w:val="007A7221"/>
    <w:rsid w:val="007C177E"/>
    <w:rsid w:val="007C3A97"/>
    <w:rsid w:val="007D06C6"/>
    <w:rsid w:val="007D19D8"/>
    <w:rsid w:val="007D40B9"/>
    <w:rsid w:val="007E14F6"/>
    <w:rsid w:val="007E19C4"/>
    <w:rsid w:val="007E3265"/>
    <w:rsid w:val="007E3A87"/>
    <w:rsid w:val="007F0940"/>
    <w:rsid w:val="007F66B9"/>
    <w:rsid w:val="00804060"/>
    <w:rsid w:val="008078D7"/>
    <w:rsid w:val="00813E7C"/>
    <w:rsid w:val="00815360"/>
    <w:rsid w:val="008323CF"/>
    <w:rsid w:val="00837592"/>
    <w:rsid w:val="00837F85"/>
    <w:rsid w:val="00846D73"/>
    <w:rsid w:val="00853397"/>
    <w:rsid w:val="0086131C"/>
    <w:rsid w:val="0087222A"/>
    <w:rsid w:val="0087417B"/>
    <w:rsid w:val="008828D2"/>
    <w:rsid w:val="00887C8E"/>
    <w:rsid w:val="0089208A"/>
    <w:rsid w:val="008939CC"/>
    <w:rsid w:val="00896ADA"/>
    <w:rsid w:val="0089723B"/>
    <w:rsid w:val="008B1B0D"/>
    <w:rsid w:val="008B228B"/>
    <w:rsid w:val="008B521B"/>
    <w:rsid w:val="008C2F45"/>
    <w:rsid w:val="008D59F2"/>
    <w:rsid w:val="008D64A3"/>
    <w:rsid w:val="008D7B42"/>
    <w:rsid w:val="008E13B1"/>
    <w:rsid w:val="008E22D4"/>
    <w:rsid w:val="008E73E6"/>
    <w:rsid w:val="008F71F4"/>
    <w:rsid w:val="00903E4D"/>
    <w:rsid w:val="00905DB1"/>
    <w:rsid w:val="00910012"/>
    <w:rsid w:val="0091147B"/>
    <w:rsid w:val="0091787F"/>
    <w:rsid w:val="00920C41"/>
    <w:rsid w:val="00923172"/>
    <w:rsid w:val="009300DB"/>
    <w:rsid w:val="00932CAD"/>
    <w:rsid w:val="00941850"/>
    <w:rsid w:val="00943B2B"/>
    <w:rsid w:val="00955E79"/>
    <w:rsid w:val="00960CEF"/>
    <w:rsid w:val="00976626"/>
    <w:rsid w:val="009805C4"/>
    <w:rsid w:val="00990D25"/>
    <w:rsid w:val="00994A07"/>
    <w:rsid w:val="009A0F55"/>
    <w:rsid w:val="009A6E26"/>
    <w:rsid w:val="009C23DF"/>
    <w:rsid w:val="009C2FEB"/>
    <w:rsid w:val="009C3A0C"/>
    <w:rsid w:val="009C5F96"/>
    <w:rsid w:val="009D07B0"/>
    <w:rsid w:val="009D1A7D"/>
    <w:rsid w:val="009D2096"/>
    <w:rsid w:val="009D43A7"/>
    <w:rsid w:val="009D4446"/>
    <w:rsid w:val="009D4A88"/>
    <w:rsid w:val="009E19AC"/>
    <w:rsid w:val="009E42D7"/>
    <w:rsid w:val="009E53FA"/>
    <w:rsid w:val="009F1AC1"/>
    <w:rsid w:val="009F286F"/>
    <w:rsid w:val="009F44E3"/>
    <w:rsid w:val="009F46CA"/>
    <w:rsid w:val="009F754F"/>
    <w:rsid w:val="00A0142F"/>
    <w:rsid w:val="00A12427"/>
    <w:rsid w:val="00A1791B"/>
    <w:rsid w:val="00A24F4D"/>
    <w:rsid w:val="00A2595C"/>
    <w:rsid w:val="00A3566B"/>
    <w:rsid w:val="00A365B6"/>
    <w:rsid w:val="00A40137"/>
    <w:rsid w:val="00A41BE6"/>
    <w:rsid w:val="00A5795A"/>
    <w:rsid w:val="00A60B7A"/>
    <w:rsid w:val="00A629F3"/>
    <w:rsid w:val="00A64831"/>
    <w:rsid w:val="00A76274"/>
    <w:rsid w:val="00A773ED"/>
    <w:rsid w:val="00A81DAD"/>
    <w:rsid w:val="00A87F43"/>
    <w:rsid w:val="00A906B2"/>
    <w:rsid w:val="00A94AFE"/>
    <w:rsid w:val="00A96185"/>
    <w:rsid w:val="00AA076C"/>
    <w:rsid w:val="00AA7A72"/>
    <w:rsid w:val="00AB0359"/>
    <w:rsid w:val="00AB2550"/>
    <w:rsid w:val="00AB7281"/>
    <w:rsid w:val="00AB7797"/>
    <w:rsid w:val="00AC3D0D"/>
    <w:rsid w:val="00AD1E8C"/>
    <w:rsid w:val="00AE02C5"/>
    <w:rsid w:val="00AE39AF"/>
    <w:rsid w:val="00AF0A20"/>
    <w:rsid w:val="00AF32C8"/>
    <w:rsid w:val="00B017AC"/>
    <w:rsid w:val="00B07538"/>
    <w:rsid w:val="00B1500A"/>
    <w:rsid w:val="00B17143"/>
    <w:rsid w:val="00B20E98"/>
    <w:rsid w:val="00B21910"/>
    <w:rsid w:val="00B346F4"/>
    <w:rsid w:val="00B37A5F"/>
    <w:rsid w:val="00B4481E"/>
    <w:rsid w:val="00B53551"/>
    <w:rsid w:val="00B53600"/>
    <w:rsid w:val="00B70DAB"/>
    <w:rsid w:val="00B77EC2"/>
    <w:rsid w:val="00B92B37"/>
    <w:rsid w:val="00BA529C"/>
    <w:rsid w:val="00BB367F"/>
    <w:rsid w:val="00BB3CE8"/>
    <w:rsid w:val="00BD2A6E"/>
    <w:rsid w:val="00BD517F"/>
    <w:rsid w:val="00BE5CD2"/>
    <w:rsid w:val="00BF05B4"/>
    <w:rsid w:val="00BF09AB"/>
    <w:rsid w:val="00BF45AA"/>
    <w:rsid w:val="00BF693C"/>
    <w:rsid w:val="00C000EF"/>
    <w:rsid w:val="00C015E1"/>
    <w:rsid w:val="00C02332"/>
    <w:rsid w:val="00C04A1F"/>
    <w:rsid w:val="00C10560"/>
    <w:rsid w:val="00C15764"/>
    <w:rsid w:val="00C16306"/>
    <w:rsid w:val="00C16B24"/>
    <w:rsid w:val="00C23464"/>
    <w:rsid w:val="00C238F7"/>
    <w:rsid w:val="00C2537B"/>
    <w:rsid w:val="00C310FC"/>
    <w:rsid w:val="00C40E2F"/>
    <w:rsid w:val="00C53683"/>
    <w:rsid w:val="00C6216B"/>
    <w:rsid w:val="00C71EBE"/>
    <w:rsid w:val="00C8685A"/>
    <w:rsid w:val="00C86C2A"/>
    <w:rsid w:val="00C9642B"/>
    <w:rsid w:val="00CB07E7"/>
    <w:rsid w:val="00CB38AA"/>
    <w:rsid w:val="00CB3FDE"/>
    <w:rsid w:val="00CB50E7"/>
    <w:rsid w:val="00CB5CE0"/>
    <w:rsid w:val="00CC530F"/>
    <w:rsid w:val="00CC7B59"/>
    <w:rsid w:val="00CE1C55"/>
    <w:rsid w:val="00CE7263"/>
    <w:rsid w:val="00CE7A60"/>
    <w:rsid w:val="00CF0D27"/>
    <w:rsid w:val="00CF4FD5"/>
    <w:rsid w:val="00D10045"/>
    <w:rsid w:val="00D21D81"/>
    <w:rsid w:val="00D618D2"/>
    <w:rsid w:val="00D8254F"/>
    <w:rsid w:val="00D96CBF"/>
    <w:rsid w:val="00DA2BB8"/>
    <w:rsid w:val="00DA3025"/>
    <w:rsid w:val="00DB21A0"/>
    <w:rsid w:val="00DD675A"/>
    <w:rsid w:val="00DE3737"/>
    <w:rsid w:val="00DE3EBB"/>
    <w:rsid w:val="00DE48D3"/>
    <w:rsid w:val="00DF2988"/>
    <w:rsid w:val="00E06EFA"/>
    <w:rsid w:val="00E24F5C"/>
    <w:rsid w:val="00E26585"/>
    <w:rsid w:val="00E319B4"/>
    <w:rsid w:val="00E33415"/>
    <w:rsid w:val="00E63615"/>
    <w:rsid w:val="00E6469A"/>
    <w:rsid w:val="00E7171B"/>
    <w:rsid w:val="00E725D5"/>
    <w:rsid w:val="00EA4A3C"/>
    <w:rsid w:val="00EA4C0C"/>
    <w:rsid w:val="00EB1A9E"/>
    <w:rsid w:val="00EB21BA"/>
    <w:rsid w:val="00EC2178"/>
    <w:rsid w:val="00ED7445"/>
    <w:rsid w:val="00EE089F"/>
    <w:rsid w:val="00EE6BA1"/>
    <w:rsid w:val="00F019F6"/>
    <w:rsid w:val="00F053BB"/>
    <w:rsid w:val="00F11CBF"/>
    <w:rsid w:val="00F22EE0"/>
    <w:rsid w:val="00F24C87"/>
    <w:rsid w:val="00F32A1C"/>
    <w:rsid w:val="00F339C2"/>
    <w:rsid w:val="00F36418"/>
    <w:rsid w:val="00F41623"/>
    <w:rsid w:val="00F45FAE"/>
    <w:rsid w:val="00F47A99"/>
    <w:rsid w:val="00F66A32"/>
    <w:rsid w:val="00F715EE"/>
    <w:rsid w:val="00F75AB4"/>
    <w:rsid w:val="00F83D01"/>
    <w:rsid w:val="00F90DC5"/>
    <w:rsid w:val="00FA58D4"/>
    <w:rsid w:val="00FD2778"/>
    <w:rsid w:val="00FD7B8D"/>
    <w:rsid w:val="00FD7D88"/>
    <w:rsid w:val="00FD7F8B"/>
    <w:rsid w:val="00FE4441"/>
    <w:rsid w:val="00FF5A78"/>
    <w:rsid w:val="051F3E1D"/>
    <w:rsid w:val="5075308D"/>
    <w:rsid w:val="5C80234E"/>
    <w:rsid w:val="698B6728"/>
    <w:rsid w:val="79C77C04"/>
    <w:rsid w:val="7D7D15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20" w:semiHidden="0" w:name="Emphasis" w:locked="1"/>
    <w:lsdException w:qFormat="1" w:uiPriority="99" w:semiHidden="0"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paragraph" w:styleId="5">
    <w:name w:val="heading 4"/>
    <w:basedOn w:val="1"/>
    <w:next w:val="1"/>
    <w:link w:val="21"/>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6">
    <w:name w:val="Document Map"/>
    <w:basedOn w:val="1"/>
    <w:link w:val="31"/>
    <w:unhideWhenUsed/>
    <w:qFormat/>
    <w:locked/>
    <w:uiPriority w:val="99"/>
    <w:rPr>
      <w:rFonts w:ascii="宋体"/>
      <w:sz w:val="18"/>
      <w:szCs w:val="18"/>
    </w:rPr>
  </w:style>
  <w:style w:type="paragraph" w:styleId="7">
    <w:name w:val="Date"/>
    <w:basedOn w:val="1"/>
    <w:next w:val="1"/>
    <w:link w:val="32"/>
    <w:unhideWhenUsed/>
    <w:locked/>
    <w:uiPriority w:val="99"/>
    <w:pPr>
      <w:ind w:left="100" w:leftChars="2500"/>
    </w:pPr>
  </w:style>
  <w:style w:type="paragraph" w:styleId="8">
    <w:name w:val="Balloon Text"/>
    <w:basedOn w:val="1"/>
    <w:semiHidden/>
    <w:qFormat/>
    <w:locked/>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30"/>
    <w:qFormat/>
    <w:locked/>
    <w:uiPriority w:val="0"/>
    <w:pPr>
      <w:spacing w:before="240" w:after="60"/>
      <w:jc w:val="center"/>
      <w:outlineLvl w:val="0"/>
    </w:pPr>
    <w:rPr>
      <w:rFonts w:ascii="Cambria" w:hAnsi="Cambria"/>
      <w:b/>
      <w:bCs/>
      <w:sz w:val="32"/>
      <w:szCs w:val="32"/>
    </w:rPr>
  </w:style>
  <w:style w:type="character" w:styleId="14">
    <w:name w:val="Strong"/>
    <w:basedOn w:val="13"/>
    <w:qFormat/>
    <w:uiPriority w:val="99"/>
    <w:rPr>
      <w:rFonts w:cs="Times New Roman"/>
      <w:b/>
    </w:rPr>
  </w:style>
  <w:style w:type="character" w:styleId="15">
    <w:name w:val="Hyperlink"/>
    <w:basedOn w:val="13"/>
    <w:semiHidden/>
    <w:qFormat/>
    <w:uiPriority w:val="99"/>
    <w:rPr>
      <w:rFonts w:cs="Times New Roman"/>
      <w:color w:val="0000FF"/>
      <w:u w:val="single"/>
    </w:rPr>
  </w:style>
  <w:style w:type="table" w:styleId="17">
    <w:name w:val="Table Grid"/>
    <w:basedOn w:val="1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1 Char"/>
    <w:basedOn w:val="13"/>
    <w:link w:val="2"/>
    <w:qFormat/>
    <w:locked/>
    <w:uiPriority w:val="99"/>
    <w:rPr>
      <w:rFonts w:cs="Times New Roman"/>
      <w:b/>
      <w:kern w:val="44"/>
      <w:sz w:val="44"/>
    </w:rPr>
  </w:style>
  <w:style w:type="character" w:customStyle="1" w:styleId="19">
    <w:name w:val="标题 2 Char"/>
    <w:basedOn w:val="13"/>
    <w:link w:val="3"/>
    <w:qFormat/>
    <w:locked/>
    <w:uiPriority w:val="99"/>
    <w:rPr>
      <w:rFonts w:ascii="Cambria" w:hAnsi="Cambria" w:eastAsia="宋体" w:cs="Times New Roman"/>
      <w:b/>
      <w:sz w:val="32"/>
    </w:rPr>
  </w:style>
  <w:style w:type="character" w:customStyle="1" w:styleId="20">
    <w:name w:val="标题 3 Char"/>
    <w:basedOn w:val="13"/>
    <w:link w:val="4"/>
    <w:qFormat/>
    <w:locked/>
    <w:uiPriority w:val="99"/>
    <w:rPr>
      <w:rFonts w:cs="Times New Roman"/>
      <w:b/>
      <w:sz w:val="32"/>
    </w:rPr>
  </w:style>
  <w:style w:type="character" w:customStyle="1" w:styleId="21">
    <w:name w:val="标题 4 Char"/>
    <w:basedOn w:val="13"/>
    <w:link w:val="5"/>
    <w:qFormat/>
    <w:locked/>
    <w:uiPriority w:val="99"/>
    <w:rPr>
      <w:rFonts w:ascii="Cambria" w:hAnsi="Cambria" w:eastAsia="宋体" w:cs="Times New Roman"/>
      <w:b/>
      <w:sz w:val="28"/>
    </w:rPr>
  </w:style>
  <w:style w:type="character" w:customStyle="1" w:styleId="22">
    <w:name w:val="apple-converted-space"/>
    <w:basedOn w:val="13"/>
    <w:qFormat/>
    <w:uiPriority w:val="99"/>
    <w:rPr>
      <w:rFonts w:cs="Times New Roman"/>
    </w:rPr>
  </w:style>
  <w:style w:type="character" w:customStyle="1" w:styleId="23">
    <w:name w:val="页眉 Char"/>
    <w:basedOn w:val="13"/>
    <w:link w:val="10"/>
    <w:semiHidden/>
    <w:qFormat/>
    <w:locked/>
    <w:uiPriority w:val="99"/>
    <w:rPr>
      <w:rFonts w:cs="Times New Roman"/>
      <w:sz w:val="18"/>
    </w:rPr>
  </w:style>
  <w:style w:type="character" w:customStyle="1" w:styleId="24">
    <w:name w:val="页脚 Char"/>
    <w:basedOn w:val="13"/>
    <w:link w:val="9"/>
    <w:qFormat/>
    <w:locked/>
    <w:uiPriority w:val="99"/>
    <w:rPr>
      <w:rFonts w:cs="Times New Roman"/>
      <w:sz w:val="18"/>
    </w:rPr>
  </w:style>
  <w:style w:type="paragraph" w:customStyle="1" w:styleId="25">
    <w:name w:val="列出段落1"/>
    <w:basedOn w:val="1"/>
    <w:qFormat/>
    <w:uiPriority w:val="99"/>
    <w:pPr>
      <w:ind w:firstLine="420" w:firstLineChars="200"/>
    </w:pPr>
  </w:style>
  <w:style w:type="paragraph" w:customStyle="1" w:styleId="26">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
    <w:name w:val="默认段落字体 Para Char Char Char Char"/>
    <w:basedOn w:val="1"/>
    <w:qFormat/>
    <w:uiPriority w:val="99"/>
    <w:rPr>
      <w:rFonts w:ascii="Times New Roman" w:hAnsi="Times New Roman"/>
      <w:szCs w:val="24"/>
    </w:rPr>
  </w:style>
  <w:style w:type="paragraph" w:customStyle="1" w:styleId="28">
    <w:name w:val="Char"/>
    <w:basedOn w:val="1"/>
    <w:qFormat/>
    <w:uiPriority w:val="99"/>
    <w:rPr>
      <w:rFonts w:ascii="Times New Roman" w:hAnsi="Times New Roman"/>
      <w:szCs w:val="20"/>
    </w:rPr>
  </w:style>
  <w:style w:type="paragraph" w:customStyle="1" w:styleId="29">
    <w:name w:val="Char1"/>
    <w:basedOn w:val="1"/>
    <w:qFormat/>
    <w:uiPriority w:val="0"/>
    <w:rPr>
      <w:rFonts w:ascii="Times New Roman" w:hAnsi="Times New Roman"/>
      <w:szCs w:val="20"/>
    </w:rPr>
  </w:style>
  <w:style w:type="character" w:customStyle="1" w:styleId="30">
    <w:name w:val="标题 Char"/>
    <w:basedOn w:val="13"/>
    <w:link w:val="12"/>
    <w:qFormat/>
    <w:locked/>
    <w:uiPriority w:val="0"/>
    <w:rPr>
      <w:rFonts w:ascii="Cambria" w:hAnsi="Cambria" w:cs="Times New Roman"/>
      <w:b/>
      <w:bCs/>
      <w:kern w:val="2"/>
      <w:sz w:val="32"/>
      <w:szCs w:val="32"/>
    </w:rPr>
  </w:style>
  <w:style w:type="character" w:customStyle="1" w:styleId="31">
    <w:name w:val="文档结构图 Char"/>
    <w:basedOn w:val="13"/>
    <w:link w:val="6"/>
    <w:semiHidden/>
    <w:qFormat/>
    <w:uiPriority w:val="99"/>
    <w:rPr>
      <w:rFonts w:ascii="宋体"/>
      <w:kern w:val="2"/>
      <w:sz w:val="18"/>
      <w:szCs w:val="18"/>
    </w:rPr>
  </w:style>
  <w:style w:type="character" w:customStyle="1" w:styleId="32">
    <w:name w:val="日期 Char"/>
    <w:basedOn w:val="13"/>
    <w:link w:val="7"/>
    <w:semiHidden/>
    <w:qFormat/>
    <w:uiPriority w:val="99"/>
    <w:rPr>
      <w:kern w:val="2"/>
      <w:sz w:val="21"/>
      <w:szCs w:val="22"/>
    </w:rPr>
  </w:style>
  <w:style w:type="paragraph" w:customStyle="1" w:styleId="33">
    <w:name w:val="列出段落2"/>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736</Words>
  <Characters>4198</Characters>
  <Lines>34</Lines>
  <Paragraphs>9</Paragraphs>
  <TotalTime>0</TotalTime>
  <ScaleCrop>false</ScaleCrop>
  <LinksUpToDate>false</LinksUpToDate>
  <CharactersWithSpaces>4925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2016-02-23T05:32:00Z</dcterms:created>
  <dc:creator>dell</dc:creator>
  <cp:lastModifiedBy>Administrator</cp:lastModifiedBy>
  <cp:lastPrinted>2016-04-25T06:45:06Z</cp:lastPrinted>
  <dcterms:modified xsi:type="dcterms:W3CDTF">2016-04-25T07:01:40Z</dcterms:modified>
  <dc:title>教育部本科教学工作审核评估及工业和信息化部本科教学优秀工程评估评建工作实施方案</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