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药大教函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[2021]26号</w:t>
      </w:r>
    </w:p>
    <w:p>
      <w:pPr>
        <w:widowControl/>
        <w:spacing w:before="156" w:beforeLines="50"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widowControl/>
        <w:spacing w:before="156" w:beforeLines="50"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做好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sz w:val="44"/>
          <w:szCs w:val="44"/>
        </w:rPr>
        <w:t>届本科生毕业论文（设计）</w:t>
      </w:r>
    </w:p>
    <w:p>
      <w:pPr>
        <w:widowControl/>
        <w:spacing w:before="156" w:beforeLines="50" w:line="52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答辩工作的通知</w:t>
      </w:r>
    </w:p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及全体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2021届本科毕业生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根据学校毕业实习与毕业论文（设计）工作的整体安排，为切实做好相关工作，现对2021届本科生毕业论文（设计）答辩工作做如下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布置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</w:rPr>
        <w:t>安排</w:t>
      </w:r>
    </w:p>
    <w:p>
      <w:pPr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具体工作进度要求，详见《2021届毕业实习与论文（设计）工作时间进度表》（附件1）。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毕业论文（设计）提交要求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论文（设计）须为学生本人完成，每篇论文（设计）作者为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1人；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论文（设计）选题科学，内容符合专业要求，立论、观点不与国家法律等相冲突，可综合运用多学科知识与技能分析或解决问题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原则上不采用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综述形式；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论文（设计）撰写格式应符合《关于中国药科大学本科毕业论文（设计）撰写规范的指导意见》（药大教函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[2020]68号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4、论文（设计）须经重复率检测，总文字复制比应符合《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届本科毕业论文（设计）学术不端检测办法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》相应要求（附件2）；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5、为保障毕业论文（设计）工作规范性和严肃性，自本通知发布起，实习单位和论文（设计）选题等信息不予变更。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答辩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工作要求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本科生毕业论文（设计）答辩工作由各学院负责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并发布本单位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届本科生毕业论文（设计）</w:t>
      </w:r>
      <w:r>
        <w:rPr>
          <w:rFonts w:hint="eastAsia" w:ascii="仿宋" w:hAnsi="仿宋" w:eastAsia="仿宋" w:cs="仿宋"/>
          <w:sz w:val="32"/>
          <w:szCs w:val="32"/>
        </w:rPr>
        <w:t>答辩工作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实施细则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对具体组织与实施工作做</w:t>
      </w:r>
      <w:r>
        <w:rPr>
          <w:rFonts w:hint="eastAsia" w:ascii="仿宋" w:hAnsi="仿宋" w:eastAsia="仿宋" w:cs="仿宋"/>
          <w:sz w:val="32"/>
          <w:szCs w:val="32"/>
        </w:rPr>
        <w:t>详细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说明，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（周一）</w:t>
      </w:r>
      <w:r>
        <w:rPr>
          <w:rFonts w:hint="eastAsia" w:ascii="仿宋" w:hAnsi="仿宋" w:eastAsia="仿宋" w:cs="仿宋"/>
          <w:sz w:val="32"/>
          <w:szCs w:val="32"/>
        </w:rPr>
        <w:t>前报送教务处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实践教学科；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2、学院须</w:t>
      </w:r>
      <w:r>
        <w:rPr>
          <w:rFonts w:hint="eastAsia" w:ascii="仿宋" w:hAnsi="仿宋" w:eastAsia="仿宋" w:cs="仿宋"/>
          <w:sz w:val="32"/>
          <w:szCs w:val="32"/>
        </w:rPr>
        <w:t>根据专业、选题方向等因素，分设若干个毕业论文（设计）答辩小组，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其权责包括但不限于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安排专人担任秘书工作、</w:t>
      </w:r>
      <w:r>
        <w:rPr>
          <w:rFonts w:hint="eastAsia" w:ascii="仿宋" w:hAnsi="仿宋" w:eastAsia="仿宋" w:cs="仿宋"/>
          <w:sz w:val="32"/>
          <w:szCs w:val="32"/>
        </w:rPr>
        <w:t>审阅学生毕业论文（设计）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、审议答辩资格、</w:t>
      </w:r>
      <w:r>
        <w:rPr>
          <w:rFonts w:hint="eastAsia" w:ascii="仿宋" w:hAnsi="仿宋" w:eastAsia="仿宋" w:cs="仿宋"/>
          <w:sz w:val="32"/>
          <w:szCs w:val="32"/>
        </w:rPr>
        <w:t>拟订答辩提纲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对毕业论文（设计）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t>和答辩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表现</w:t>
      </w:r>
      <w:r>
        <w:rPr>
          <w:rFonts w:hint="eastAsia" w:ascii="仿宋" w:hAnsi="仿宋" w:eastAsia="仿宋" w:cs="仿宋"/>
          <w:sz w:val="32"/>
          <w:szCs w:val="32"/>
        </w:rPr>
        <w:t>进行评价及成绩评定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每个</w:t>
      </w:r>
      <w:r>
        <w:rPr>
          <w:rFonts w:hint="eastAsia" w:ascii="仿宋" w:hAnsi="仿宋" w:eastAsia="仿宋" w:cs="仿宋"/>
          <w:sz w:val="32"/>
          <w:szCs w:val="32"/>
        </w:rPr>
        <w:t>答辩小组由3名或3名以上具有中级以上职称的专业教师组成，其中一名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出任</w:t>
      </w:r>
      <w:r>
        <w:rPr>
          <w:rFonts w:hint="eastAsia" w:ascii="仿宋" w:hAnsi="仿宋" w:eastAsia="仿宋" w:cs="仿宋"/>
          <w:sz w:val="32"/>
          <w:szCs w:val="32"/>
        </w:rPr>
        <w:t>答辩小组组长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，且参加答辩的毕业论文（设计）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指导教师不得进入答辩小组；</w:t>
      </w:r>
      <w:r>
        <w:rPr>
          <w:rFonts w:hint="eastAsia" w:ascii="仿宋" w:hAnsi="仿宋" w:eastAsia="仿宋" w:cs="仿宋"/>
          <w:sz w:val="32"/>
          <w:szCs w:val="32"/>
        </w:rPr>
        <w:t>答辩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秘书</w:t>
      </w:r>
      <w:r>
        <w:rPr>
          <w:rFonts w:hint="eastAsia" w:ascii="仿宋" w:hAnsi="仿宋" w:eastAsia="仿宋" w:cs="仿宋"/>
          <w:sz w:val="32"/>
          <w:szCs w:val="32"/>
        </w:rPr>
        <w:t>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</w:rPr>
        <w:t>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答辩过程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填写《答辩记录表》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交学院教学秘书汇总保存；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答辩过程包括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毕业论文（设计）学生报告、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问答</w:t>
      </w:r>
      <w:r>
        <w:rPr>
          <w:rFonts w:hint="eastAsia" w:ascii="仿宋" w:hAnsi="仿宋" w:eastAsia="仿宋" w:cs="仿宋"/>
          <w:sz w:val="32"/>
          <w:szCs w:val="32"/>
        </w:rPr>
        <w:t>及考核评议3个环节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答辩时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长建议</w:t>
      </w:r>
      <w:r>
        <w:rPr>
          <w:rFonts w:hint="eastAsia" w:ascii="仿宋" w:hAnsi="仿宋" w:eastAsia="仿宋" w:cs="仿宋"/>
          <w:sz w:val="32"/>
          <w:szCs w:val="32"/>
        </w:rPr>
        <w:t>控制在15分钟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以内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问答环节时长建议控制在</w:t>
      </w:r>
      <w:r>
        <w:rPr>
          <w:rFonts w:hint="eastAsia" w:ascii="仿宋" w:hAnsi="仿宋" w:eastAsia="仿宋" w:cs="仿宋"/>
          <w:sz w:val="32"/>
          <w:szCs w:val="32"/>
        </w:rPr>
        <w:t>10分钟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以内；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5、非必要情况，答辩工作均采取线下现场形式进行；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校外答辩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的要求与校内要求相同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，且拟于</w:t>
      </w:r>
      <w:r>
        <w:rPr>
          <w:rFonts w:hint="eastAsia" w:ascii="仿宋" w:hAnsi="仿宋" w:eastAsia="仿宋" w:cs="仿宋"/>
          <w:sz w:val="32"/>
          <w:szCs w:val="32"/>
        </w:rPr>
        <w:t>校外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毕业论文（设计）答辩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工作的</w:t>
      </w: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须于</w:t>
      </w:r>
      <w:r>
        <w:rPr>
          <w:rFonts w:hint="eastAsia" w:ascii="仿宋" w:hAnsi="仿宋" w:eastAsia="仿宋" w:cs="仿宋"/>
          <w:sz w:val="32"/>
          <w:szCs w:val="32"/>
        </w:rPr>
        <w:t>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日前向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所属学院</w:t>
      </w:r>
      <w:r>
        <w:rPr>
          <w:rFonts w:hint="eastAsia" w:ascii="仿宋" w:hAnsi="仿宋" w:eastAsia="仿宋" w:cs="仿宋"/>
          <w:sz w:val="32"/>
          <w:szCs w:val="32"/>
        </w:rPr>
        <w:t>提交《中国药科大学本科生毕业论文（设计）校外答辩申请表》（附件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，须按要求具有相关人员签名及单位印章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可先将照片或扫描件以jpg格式发至辅导员处，返校时带回纸质版），各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应于5月2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日前完成审核工作，由辅导员将审核结果通知学生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；未经学院同意，学生不得在校外进行毕业论文（设计）答辩；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论文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（设计）</w:t>
      </w:r>
      <w:r>
        <w:rPr>
          <w:rFonts w:hint="eastAsia" w:ascii="仿宋" w:hAnsi="仿宋" w:eastAsia="仿宋" w:cs="仿宋"/>
          <w:sz w:val="32"/>
          <w:szCs w:val="32"/>
        </w:rPr>
        <w:t>答辩不合格的学生须参加延期答辩，此项工作将由教务处统一组织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联系人：教务处实践教学科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黄锐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联系电话：025-86185205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电子邮箱：sjk@cpu.edu.cn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1、2021届毕业实习与论文（设计）工作时间进度表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届本科毕业论文（设计）学术不端检测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办法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中国药科大学本科生毕业论文（设计）校外答辩申请表</w:t>
      </w:r>
    </w:p>
    <w:p>
      <w:pPr>
        <w:adjustRightInd w:val="0"/>
        <w:snapToGrid w:val="0"/>
        <w:spacing w:line="560" w:lineRule="exact"/>
        <w:ind w:right="64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64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中国药科大学</w:t>
      </w:r>
      <w:r>
        <w:rPr>
          <w:rFonts w:hint="eastAsia" w:ascii="仿宋" w:hAnsi="仿宋" w:eastAsia="仿宋" w:cs="仿宋"/>
          <w:sz w:val="32"/>
          <w:szCs w:val="32"/>
        </w:rPr>
        <w:t>教务处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Hlt481051027"/>
      <w:bookmarkEnd w:id="0"/>
      <w:bookmarkStart w:id="1" w:name="_Hlt481051026"/>
      <w:bookmarkEnd w:id="1"/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2021届毕业实习与论文（设计）工作时间进度表</w:t>
      </w:r>
    </w:p>
    <w:tbl>
      <w:tblPr>
        <w:tblStyle w:val="2"/>
        <w:tblpPr w:leftFromText="180" w:rightFromText="180" w:vertAnchor="text" w:horzAnchor="page" w:tblpX="1348" w:tblpY="214"/>
        <w:tblOverlap w:val="never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672"/>
        <w:gridCol w:w="5462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时间节点</w:t>
            </w:r>
          </w:p>
        </w:tc>
        <w:tc>
          <w:tcPr>
            <w:tcW w:w="54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5月28日前</w:t>
            </w:r>
          </w:p>
        </w:tc>
        <w:tc>
          <w:tcPr>
            <w:tcW w:w="54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学生填写实习评价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指导教师、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学生将论文（设计）电子版上传至毕业论文管理系统，自查重复率，并由指导教师审核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5月31日</w:t>
            </w:r>
          </w:p>
        </w:tc>
        <w:tc>
          <w:tcPr>
            <w:tcW w:w="54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校外实习学生返校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各学院、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学生上交实习手册、开题报告、中期检查表等实习材料（须有指导教师和实习单位签字盖章）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5月31日前</w:t>
            </w:r>
          </w:p>
        </w:tc>
        <w:tc>
          <w:tcPr>
            <w:tcW w:w="54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辅导员汇总学生论文（设计）进行重复率集中检测（第一次）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各学院、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6月1日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-6月10日</w:t>
            </w:r>
          </w:p>
        </w:tc>
        <w:tc>
          <w:tcPr>
            <w:tcW w:w="54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毕业论文抽检与答辩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各学院、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教务处、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7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6月11日前</w:t>
            </w:r>
          </w:p>
        </w:tc>
        <w:tc>
          <w:tcPr>
            <w:tcW w:w="54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辅导员汇总学生论文（设计）最终版进行重复率集中检测（第二次） 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学院汇总毕业论文最终版重复率检测报告（电子版）、论文最终版（电子版与纸质版，须有本人及指导教师签字）及学生毕业所需其他材料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6月12日前</w:t>
            </w:r>
          </w:p>
        </w:tc>
        <w:tc>
          <w:tcPr>
            <w:tcW w:w="54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毕业论文（设计）有修改的学生将最终版上传至毕业论文管理系统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adjustRightInd w:val="0"/>
        <w:snapToGrid w:val="0"/>
        <w:spacing w:line="24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实习与</w:t>
      </w:r>
      <w:r>
        <w:rPr>
          <w:rFonts w:hint="eastAsia" w:ascii="仿宋" w:hAnsi="仿宋" w:eastAsia="仿宋" w:cs="仿宋"/>
          <w:sz w:val="24"/>
          <w:szCs w:val="24"/>
        </w:rPr>
        <w:t>答辩所用材料的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电子表格</w:t>
      </w:r>
      <w:r>
        <w:rPr>
          <w:rFonts w:hint="eastAsia" w:ascii="仿宋" w:hAnsi="仿宋" w:eastAsia="仿宋" w:cs="仿宋"/>
          <w:sz w:val="24"/>
          <w:szCs w:val="24"/>
        </w:rPr>
        <w:t>可在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“中国药科大学毕业设计（论文）管理系统”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</w:rPr>
        <w:t>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表格下载</w:t>
      </w:r>
      <w:r>
        <w:rPr>
          <w:rFonts w:hint="eastAsia" w:ascii="仿宋" w:hAnsi="仿宋" w:eastAsia="仿宋" w:cs="仿宋"/>
          <w:sz w:val="24"/>
          <w:szCs w:val="24"/>
        </w:rPr>
        <w:t>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</w:rPr>
        <w:t>“实习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与</w:t>
      </w:r>
      <w:r>
        <w:rPr>
          <w:rFonts w:hint="eastAsia" w:ascii="仿宋" w:hAnsi="仿宋" w:eastAsia="仿宋" w:cs="仿宋"/>
          <w:sz w:val="24"/>
          <w:szCs w:val="24"/>
        </w:rPr>
        <w:t>论文表格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汇总</w:t>
      </w:r>
      <w:r>
        <w:rPr>
          <w:rFonts w:hint="eastAsia" w:ascii="仿宋" w:hAnsi="仿宋" w:eastAsia="仿宋" w:cs="仿宋"/>
          <w:sz w:val="24"/>
          <w:szCs w:val="24"/>
        </w:rPr>
        <w:t>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</w:t>
      </w:r>
      <w:r>
        <w:rPr>
          <w:rFonts w:hint="eastAsia" w:ascii="仿宋" w:hAnsi="仿宋" w:eastAsia="仿宋" w:cs="仿宋"/>
          <w:sz w:val="24"/>
          <w:szCs w:val="24"/>
        </w:rPr>
        <w:t>下载。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学生在毕业前应向学院提交如下材料：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）毕业生实习手册（有签字、盖章）；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）毕业论文开题报告书面稿1份（有签名），电子稿填入毕设系统；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）毕业论文中期检查表书面稿1份（有签名），电子稿填入毕设系统；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）毕业论文答辩记录表书面稿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（有签名）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）毕业论文评阅意见表书面稿1份（有签名）；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）毕业论文成绩评定表书面稿1份（有签名）；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）毕业论文最终版书面稿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（封面导师签字、承诺书学生签字），最终版电子稿（封面和承诺书签字扫描插入正文）上传到毕设系统。</w:t>
      </w:r>
    </w:p>
    <w:p>
      <w:pPr>
        <w:adjustRightInd w:val="0"/>
        <w:snapToGrid w:val="0"/>
        <w:spacing w:line="24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adjustRightInd w:val="0"/>
        <w:snapToGrid w:val="0"/>
        <w:spacing w:line="24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方正小标宋_GBK" w:eastAsia="方正小标宋_GBK"/>
          <w:bCs/>
          <w:sz w:val="32"/>
          <w:szCs w:val="32"/>
          <w:lang w:eastAsia="zh-CN"/>
        </w:rPr>
      </w:pPr>
      <w:r>
        <w:rPr>
          <w:rFonts w:hint="eastAsia" w:ascii="方正小标宋_GBK" w:eastAsia="方正小标宋_GBK"/>
          <w:bCs/>
          <w:sz w:val="32"/>
          <w:szCs w:val="32"/>
        </w:rPr>
        <w:t>202</w:t>
      </w:r>
      <w:r>
        <w:rPr>
          <w:rFonts w:hint="eastAsia" w:ascii="方正小标宋_GBK" w:eastAsia="方正小标宋_GBK"/>
          <w:bCs/>
          <w:sz w:val="32"/>
          <w:szCs w:val="32"/>
          <w:lang w:val="en-US" w:eastAsia="zh-CN"/>
        </w:rPr>
        <w:t>1</w:t>
      </w:r>
      <w:r>
        <w:rPr>
          <w:rFonts w:hint="eastAsia" w:ascii="方正小标宋_GBK" w:eastAsia="方正小标宋_GBK"/>
          <w:bCs/>
          <w:sz w:val="32"/>
          <w:szCs w:val="32"/>
        </w:rPr>
        <w:t>届本科毕业论文（设计）学术不端检测</w:t>
      </w:r>
      <w:r>
        <w:rPr>
          <w:rFonts w:hint="eastAsia" w:ascii="方正小标宋_GBK" w:eastAsia="方正小标宋_GBK"/>
          <w:bCs/>
          <w:sz w:val="32"/>
          <w:szCs w:val="32"/>
          <w:lang w:eastAsia="zh-CN"/>
        </w:rPr>
        <w:t>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毕业论文（设计）是人才培养方案的重要组成部分，是学生在掌握基础理论知识和基本技能的基础上，进行科学研究基本训练的重要环节。为进一步提高毕业论文（设计）质量，加强规范管理，科学引用文献资料，杜绝毕业论文（设计）过程中的抄袭、拷贝、篡改已有科研成果等学术不端现象的发生，学校决定应用大学生论文抄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重复率</w:t>
      </w:r>
      <w:r>
        <w:rPr>
          <w:rFonts w:hint="eastAsia" w:ascii="仿宋" w:hAnsi="仿宋" w:eastAsia="仿宋" w:cs="仿宋"/>
          <w:sz w:val="28"/>
          <w:szCs w:val="28"/>
        </w:rPr>
        <w:t>检测系统对20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届本科毕业论文（设计）进行检测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相关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检测办法</w:t>
      </w:r>
      <w:r>
        <w:rPr>
          <w:rFonts w:hint="eastAsia" w:ascii="仿宋" w:hAnsi="仿宋" w:eastAsia="仿宋" w:cs="仿宋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一、检测范围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届各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</w:t>
      </w:r>
      <w:r>
        <w:rPr>
          <w:rFonts w:hint="eastAsia" w:ascii="仿宋" w:hAnsi="仿宋" w:eastAsia="仿宋" w:cs="仿宋"/>
          <w:sz w:val="28"/>
          <w:szCs w:val="28"/>
        </w:rPr>
        <w:t>院毕业生的全部毕业论文（设计）。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二、检测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5月28日前，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将毕业论文（设计）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电子版</w:t>
      </w:r>
      <w:r>
        <w:rPr>
          <w:rFonts w:hint="eastAsia" w:ascii="仿宋" w:hAnsi="仿宋" w:eastAsia="仿宋" w:cs="仿宋"/>
          <w:sz w:val="28"/>
          <w:szCs w:val="28"/>
        </w:rPr>
        <w:t>上传到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“中国药科大学毕业设计（论文）管理系统”进行查重检测，每人可以查重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2次，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后一次上传的文件将覆盖前一次的文件，所得检测报告由“维普论文检测系统”提供。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辅导员集中检测（第一次）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日前，辅导员汇总所有学生毕业论文（设计）电子版，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通过“中国知网大学生论文</w:t>
      </w:r>
      <w:r>
        <w:rPr>
          <w:rFonts w:hint="eastAsia" w:ascii="仿宋" w:hAnsi="仿宋" w:eastAsia="仿宋" w:cs="仿宋"/>
          <w:sz w:val="28"/>
          <w:szCs w:val="28"/>
        </w:rPr>
        <w:t>检测系统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重复率集中</w:t>
      </w:r>
      <w:r>
        <w:rPr>
          <w:rFonts w:hint="eastAsia" w:ascii="仿宋" w:hAnsi="仿宋" w:eastAsia="仿宋" w:cs="仿宋"/>
          <w:sz w:val="28"/>
          <w:szCs w:val="28"/>
        </w:rPr>
        <w:t>检测，检测报告不合格的学生不得进行毕业论文（设计）答辩。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辅导员集中检测（第二次）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根据答辩小组和指导教师意见，部分学生须修改毕业论文（设计），修改完毕后最终版应交由</w:t>
      </w:r>
      <w:r>
        <w:rPr>
          <w:rFonts w:hint="eastAsia" w:ascii="仿宋" w:hAnsi="仿宋" w:eastAsia="仿宋" w:cs="仿宋"/>
          <w:sz w:val="28"/>
          <w:szCs w:val="28"/>
        </w:rPr>
        <w:t>辅导员汇总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6月11日前</w:t>
      </w:r>
      <w:r>
        <w:rPr>
          <w:rFonts w:hint="eastAsia" w:ascii="仿宋" w:hAnsi="仿宋" w:eastAsia="仿宋" w:cs="仿宋"/>
          <w:sz w:val="28"/>
          <w:szCs w:val="28"/>
        </w:rPr>
        <w:t>再次进行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重复率集中</w:t>
      </w:r>
      <w:r>
        <w:rPr>
          <w:rFonts w:hint="eastAsia" w:ascii="仿宋" w:hAnsi="仿宋" w:eastAsia="仿宋" w:cs="仿宋"/>
          <w:sz w:val="28"/>
          <w:szCs w:val="28"/>
        </w:rPr>
        <w:t>检测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4、汇总存档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第二次集中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检测完毕且报告合格后，辅导员应</w:t>
      </w:r>
      <w:r>
        <w:rPr>
          <w:rFonts w:hint="eastAsia" w:ascii="仿宋" w:hAnsi="仿宋" w:eastAsia="仿宋" w:cs="仿宋"/>
          <w:sz w:val="28"/>
          <w:szCs w:val="28"/>
        </w:rPr>
        <w:t>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毕业论文（设计）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最终版（电子版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及书面版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及其对应的重复率检测报告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电子版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）汇总</w:t>
      </w:r>
      <w:r>
        <w:rPr>
          <w:rFonts w:hint="eastAsia" w:ascii="仿宋" w:hAnsi="仿宋" w:eastAsia="仿宋" w:cs="仿宋"/>
          <w:sz w:val="28"/>
          <w:szCs w:val="28"/>
        </w:rPr>
        <w:t>提交学院保存归档，以备日后抽检使用。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6月12日前，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学生应将修改后的论文（设计）最终版上传至毕业论文（设计）管理系统。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、检测标准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检测结果中毕业论文（设计）总文字复制比（文字复制比即指毕业论文（设计）的某一章节与比对文献比较后，重合文字部分在该章节中所占的比例）在35%（含35%）以内的视为合格。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各学院可根据本部门实际情况，另行规定本部门毕业论文（设计）</w:t>
      </w:r>
      <w:r>
        <w:rPr>
          <w:rFonts w:hint="eastAsia" w:ascii="仿宋" w:hAnsi="仿宋" w:eastAsia="仿宋" w:cs="仿宋"/>
          <w:sz w:val="28"/>
          <w:szCs w:val="28"/>
        </w:rPr>
        <w:t>总文字复制比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合格范围，但不得超过学校标准。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总文字复制比超过35%的毕业论文（设计），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指导教师</w:t>
      </w:r>
      <w:r>
        <w:rPr>
          <w:rFonts w:hint="eastAsia" w:ascii="仿宋" w:hAnsi="仿宋" w:eastAsia="仿宋" w:cs="仿宋"/>
          <w:sz w:val="28"/>
          <w:szCs w:val="28"/>
        </w:rPr>
        <w:t>应该督促学生对其论文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</w:t>
      </w:r>
      <w:r>
        <w:rPr>
          <w:rFonts w:hint="eastAsia" w:ascii="仿宋" w:hAnsi="仿宋" w:eastAsia="仿宋" w:cs="仿宋"/>
          <w:sz w:val="28"/>
          <w:szCs w:val="28"/>
        </w:rPr>
        <w:t>检测存在的问题进行分析判断和修改，凡引用他人观点、方案、资料、数据等，无论曾否发表，无论纸质文本或电子版，均应详加注释。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拟</w:t>
      </w:r>
      <w:r>
        <w:rPr>
          <w:rFonts w:hint="eastAsia" w:ascii="仿宋" w:hAnsi="仿宋" w:eastAsia="仿宋" w:cs="仿宋"/>
          <w:sz w:val="28"/>
          <w:szCs w:val="28"/>
        </w:rPr>
        <w:t>参评校级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及以上</w:t>
      </w:r>
      <w:r>
        <w:rPr>
          <w:rFonts w:hint="eastAsia" w:ascii="仿宋" w:hAnsi="仿宋" w:eastAsia="仿宋" w:cs="仿宋"/>
          <w:sz w:val="28"/>
          <w:szCs w:val="28"/>
        </w:rPr>
        <w:t>优秀毕业论文（设计）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的，其</w:t>
      </w:r>
      <w:r>
        <w:rPr>
          <w:rFonts w:hint="eastAsia" w:ascii="仿宋" w:hAnsi="仿宋" w:eastAsia="仿宋" w:cs="仿宋"/>
          <w:sz w:val="28"/>
          <w:szCs w:val="28"/>
        </w:rPr>
        <w:t>总文字复制比应控制在15%以内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（不含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其他注意事项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各系统账号使用人</w:t>
      </w:r>
      <w:r>
        <w:rPr>
          <w:rFonts w:hint="eastAsia" w:ascii="仿宋" w:hAnsi="仿宋" w:eastAsia="仿宋" w:cs="仿宋"/>
          <w:sz w:val="28"/>
          <w:szCs w:val="28"/>
        </w:rPr>
        <w:t>在使用的过程中须对用户名、密码严格保密，严禁向外泄露，防止帐号被盗卖，重点关注涉密学位论文的保密工作。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在使用系统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检测</w:t>
      </w:r>
      <w:r>
        <w:rPr>
          <w:rFonts w:hint="eastAsia" w:ascii="仿宋" w:hAnsi="仿宋" w:eastAsia="仿宋" w:cs="仿宋"/>
          <w:sz w:val="28"/>
          <w:szCs w:val="28"/>
        </w:rPr>
        <w:t>时发现学术不端行为的，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</w:t>
      </w:r>
      <w:r>
        <w:rPr>
          <w:rFonts w:hint="eastAsia" w:ascii="仿宋" w:hAnsi="仿宋" w:eastAsia="仿宋" w:cs="仿宋"/>
          <w:sz w:val="28"/>
          <w:szCs w:val="28"/>
        </w:rPr>
        <w:t>院应及时向教务处反馈，教务处可依据教育部颁发的《学位论文作假行为处理办法》及《中国药科大学学术不端行为查处办法》、《中国药科大学学风建设实施细则》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报中国药科大学学风建设领导小组进行查处。</w:t>
      </w:r>
      <w:bookmarkStart w:id="2" w:name="_GoBack"/>
      <w:bookmarkEnd w:id="2"/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中国药科大学本科生毕业论文（设计）校外答辩申请表</w:t>
      </w:r>
    </w:p>
    <w:tbl>
      <w:tblPr>
        <w:tblStyle w:val="2"/>
        <w:tblpPr w:leftFromText="180" w:rightFromText="180" w:vertAnchor="text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594"/>
        <w:gridCol w:w="921"/>
        <w:gridCol w:w="11"/>
        <w:gridCol w:w="799"/>
        <w:gridCol w:w="1509"/>
        <w:gridCol w:w="533"/>
        <w:gridCol w:w="388"/>
        <w:gridCol w:w="345"/>
        <w:gridCol w:w="53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生姓名</w:t>
            </w: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学号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答辩方式</w:t>
            </w:r>
          </w:p>
        </w:tc>
        <w:tc>
          <w:tcPr>
            <w:tcW w:w="7208" w:type="dxa"/>
            <w:gridSpan w:val="10"/>
            <w:noWrap w:val="0"/>
            <w:vAlign w:val="center"/>
          </w:tcPr>
          <w:p>
            <w:pPr>
              <w:spacing w:line="240" w:lineRule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□校外实习单位现场答辩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208" w:type="dxa"/>
            <w:gridSpan w:val="10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实习单位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7208" w:type="dxa"/>
            <w:gridSpan w:val="10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指导教师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电子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45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拟组成的答辩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小组成员情况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（至少3人，均应具有中级以上技术职称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，且参加答辩的毕业论文（设计）指导教师不得进入答辩小组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职  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指导教师意见：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指导教师签名：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实习单位负责人意见 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负责人签字（单位盖章）：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审批意见：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院领导签字：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tbl>
      <w:tblPr>
        <w:tblStyle w:val="3"/>
        <w:tblpPr w:leftFromText="180" w:rightFromText="180" w:vertAnchor="text" w:tblpX="10214" w:tblpY="-7747"/>
        <w:tblOverlap w:val="never"/>
        <w:tblW w:w="2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96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7762"/>
        <w:tblOverlap w:val="never"/>
        <w:tblW w:w="2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1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7792"/>
        <w:tblOverlap w:val="never"/>
        <w:tblW w:w="2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26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7822"/>
        <w:tblOverlap w:val="never"/>
        <w:tblW w:w="2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4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CF1282"/>
    <w:multiLevelType w:val="singleLevel"/>
    <w:tmpl w:val="B6CF128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E623350"/>
    <w:multiLevelType w:val="singleLevel"/>
    <w:tmpl w:val="5E62335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5FD287"/>
    <w:multiLevelType w:val="singleLevel"/>
    <w:tmpl w:val="745FD2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42844"/>
    <w:rsid w:val="00894A58"/>
    <w:rsid w:val="02486BE7"/>
    <w:rsid w:val="02DE41A5"/>
    <w:rsid w:val="02FD3C9C"/>
    <w:rsid w:val="037F778C"/>
    <w:rsid w:val="03EE7297"/>
    <w:rsid w:val="043360DA"/>
    <w:rsid w:val="04BF05D4"/>
    <w:rsid w:val="04C750A6"/>
    <w:rsid w:val="04C7741E"/>
    <w:rsid w:val="050F6DEC"/>
    <w:rsid w:val="053F041B"/>
    <w:rsid w:val="065B00E6"/>
    <w:rsid w:val="06E46820"/>
    <w:rsid w:val="09E901C5"/>
    <w:rsid w:val="09F20B46"/>
    <w:rsid w:val="0B1252BC"/>
    <w:rsid w:val="0B2D56D6"/>
    <w:rsid w:val="0CCB3FB6"/>
    <w:rsid w:val="0D5220B7"/>
    <w:rsid w:val="0DD95A64"/>
    <w:rsid w:val="0EE15FC9"/>
    <w:rsid w:val="0F3E2C3E"/>
    <w:rsid w:val="0FB83093"/>
    <w:rsid w:val="11190D95"/>
    <w:rsid w:val="11202D93"/>
    <w:rsid w:val="115015BC"/>
    <w:rsid w:val="133226F7"/>
    <w:rsid w:val="14AA1ABC"/>
    <w:rsid w:val="15583867"/>
    <w:rsid w:val="155B4641"/>
    <w:rsid w:val="15B7228E"/>
    <w:rsid w:val="15DF6CA1"/>
    <w:rsid w:val="16015A0F"/>
    <w:rsid w:val="17675F3D"/>
    <w:rsid w:val="18BF435A"/>
    <w:rsid w:val="19EA57E6"/>
    <w:rsid w:val="1A600BD2"/>
    <w:rsid w:val="1B3C3AEF"/>
    <w:rsid w:val="1BFE6B97"/>
    <w:rsid w:val="1CC16628"/>
    <w:rsid w:val="1D4227C3"/>
    <w:rsid w:val="1D914725"/>
    <w:rsid w:val="1E450DF2"/>
    <w:rsid w:val="1E6C5D98"/>
    <w:rsid w:val="1ECA2F23"/>
    <w:rsid w:val="1F402963"/>
    <w:rsid w:val="1F683DC5"/>
    <w:rsid w:val="1F7C031D"/>
    <w:rsid w:val="20027E8D"/>
    <w:rsid w:val="209922AC"/>
    <w:rsid w:val="21F90E75"/>
    <w:rsid w:val="246435F1"/>
    <w:rsid w:val="24E44661"/>
    <w:rsid w:val="24EA3A96"/>
    <w:rsid w:val="25787428"/>
    <w:rsid w:val="25D53CFE"/>
    <w:rsid w:val="278F4E3B"/>
    <w:rsid w:val="28497F75"/>
    <w:rsid w:val="285219F1"/>
    <w:rsid w:val="28BC3C32"/>
    <w:rsid w:val="28E16F70"/>
    <w:rsid w:val="29725437"/>
    <w:rsid w:val="299C0594"/>
    <w:rsid w:val="2A086E0B"/>
    <w:rsid w:val="2A5762C1"/>
    <w:rsid w:val="2A80612A"/>
    <w:rsid w:val="2AA10EAB"/>
    <w:rsid w:val="2AD95F12"/>
    <w:rsid w:val="2BF17B95"/>
    <w:rsid w:val="2E526054"/>
    <w:rsid w:val="2F056372"/>
    <w:rsid w:val="2F1544E8"/>
    <w:rsid w:val="2F32249E"/>
    <w:rsid w:val="2FD14F0E"/>
    <w:rsid w:val="3075558E"/>
    <w:rsid w:val="30E33472"/>
    <w:rsid w:val="30E72E75"/>
    <w:rsid w:val="30F2641A"/>
    <w:rsid w:val="32547A01"/>
    <w:rsid w:val="328F4227"/>
    <w:rsid w:val="32A802A5"/>
    <w:rsid w:val="32B9487F"/>
    <w:rsid w:val="331B1254"/>
    <w:rsid w:val="336B2009"/>
    <w:rsid w:val="339002CB"/>
    <w:rsid w:val="33E17181"/>
    <w:rsid w:val="342C6560"/>
    <w:rsid w:val="34590E34"/>
    <w:rsid w:val="34BE1460"/>
    <w:rsid w:val="34FF3706"/>
    <w:rsid w:val="354F1F6A"/>
    <w:rsid w:val="35743911"/>
    <w:rsid w:val="3582101B"/>
    <w:rsid w:val="3604324F"/>
    <w:rsid w:val="3609688C"/>
    <w:rsid w:val="362C71AA"/>
    <w:rsid w:val="385E37AB"/>
    <w:rsid w:val="399E6F5D"/>
    <w:rsid w:val="39E274A9"/>
    <w:rsid w:val="39E621A1"/>
    <w:rsid w:val="3A74729C"/>
    <w:rsid w:val="3B196507"/>
    <w:rsid w:val="3B2070A3"/>
    <w:rsid w:val="3C5130EC"/>
    <w:rsid w:val="3C79208D"/>
    <w:rsid w:val="3D6A592F"/>
    <w:rsid w:val="3D7B0A71"/>
    <w:rsid w:val="3E132C32"/>
    <w:rsid w:val="3E3B13D4"/>
    <w:rsid w:val="3EC646B9"/>
    <w:rsid w:val="3FC8738A"/>
    <w:rsid w:val="3FE63C4D"/>
    <w:rsid w:val="40390A13"/>
    <w:rsid w:val="412514F3"/>
    <w:rsid w:val="4184798B"/>
    <w:rsid w:val="41EF159D"/>
    <w:rsid w:val="421733A4"/>
    <w:rsid w:val="42335331"/>
    <w:rsid w:val="42CA72DE"/>
    <w:rsid w:val="42D24C8A"/>
    <w:rsid w:val="433C4EBD"/>
    <w:rsid w:val="436008C2"/>
    <w:rsid w:val="4368422A"/>
    <w:rsid w:val="439F659C"/>
    <w:rsid w:val="44753A57"/>
    <w:rsid w:val="44C05104"/>
    <w:rsid w:val="457C372B"/>
    <w:rsid w:val="461C043C"/>
    <w:rsid w:val="46C53D5B"/>
    <w:rsid w:val="47AB454C"/>
    <w:rsid w:val="47BC7E37"/>
    <w:rsid w:val="47D8391E"/>
    <w:rsid w:val="481B6FE6"/>
    <w:rsid w:val="4847301C"/>
    <w:rsid w:val="49146E9D"/>
    <w:rsid w:val="49365FD4"/>
    <w:rsid w:val="4A333C91"/>
    <w:rsid w:val="4A957ECE"/>
    <w:rsid w:val="4B363840"/>
    <w:rsid w:val="4BD37249"/>
    <w:rsid w:val="4C531505"/>
    <w:rsid w:val="4C567428"/>
    <w:rsid w:val="4CCC2753"/>
    <w:rsid w:val="4D000898"/>
    <w:rsid w:val="4D294751"/>
    <w:rsid w:val="4DF9088A"/>
    <w:rsid w:val="4E242844"/>
    <w:rsid w:val="4F676F9D"/>
    <w:rsid w:val="4FD03DE1"/>
    <w:rsid w:val="4FF87E06"/>
    <w:rsid w:val="505307F9"/>
    <w:rsid w:val="505E53D9"/>
    <w:rsid w:val="507E24AA"/>
    <w:rsid w:val="50921DDD"/>
    <w:rsid w:val="510079D4"/>
    <w:rsid w:val="520975D7"/>
    <w:rsid w:val="53E6097E"/>
    <w:rsid w:val="5486438A"/>
    <w:rsid w:val="54D47817"/>
    <w:rsid w:val="56484B5B"/>
    <w:rsid w:val="56971D99"/>
    <w:rsid w:val="56C70BD7"/>
    <w:rsid w:val="56F86E72"/>
    <w:rsid w:val="5818044C"/>
    <w:rsid w:val="588B2919"/>
    <w:rsid w:val="58F72FC3"/>
    <w:rsid w:val="5AA1250E"/>
    <w:rsid w:val="5C9746E9"/>
    <w:rsid w:val="5DBE2B6B"/>
    <w:rsid w:val="5F125DB8"/>
    <w:rsid w:val="5F703AF0"/>
    <w:rsid w:val="5FD6729C"/>
    <w:rsid w:val="5FD86385"/>
    <w:rsid w:val="5FDC2FBF"/>
    <w:rsid w:val="607C6BF2"/>
    <w:rsid w:val="61443737"/>
    <w:rsid w:val="61C04B60"/>
    <w:rsid w:val="62D04A6D"/>
    <w:rsid w:val="63A557EF"/>
    <w:rsid w:val="6410524E"/>
    <w:rsid w:val="64577B2C"/>
    <w:rsid w:val="647D2D83"/>
    <w:rsid w:val="650A7E76"/>
    <w:rsid w:val="650B1A67"/>
    <w:rsid w:val="656A5C07"/>
    <w:rsid w:val="65A37394"/>
    <w:rsid w:val="662F0220"/>
    <w:rsid w:val="664B365B"/>
    <w:rsid w:val="67313CE5"/>
    <w:rsid w:val="67A00BFE"/>
    <w:rsid w:val="67A546A6"/>
    <w:rsid w:val="68EE0E5F"/>
    <w:rsid w:val="69127283"/>
    <w:rsid w:val="6A5B62C5"/>
    <w:rsid w:val="6B643BCF"/>
    <w:rsid w:val="6B746C7C"/>
    <w:rsid w:val="6B894560"/>
    <w:rsid w:val="6DA047B4"/>
    <w:rsid w:val="6DFD0230"/>
    <w:rsid w:val="6F1444AC"/>
    <w:rsid w:val="6F3A6BF6"/>
    <w:rsid w:val="6F760EBC"/>
    <w:rsid w:val="6FC23833"/>
    <w:rsid w:val="703F1F44"/>
    <w:rsid w:val="70B6797F"/>
    <w:rsid w:val="70C02700"/>
    <w:rsid w:val="70DA3E68"/>
    <w:rsid w:val="70F36B8B"/>
    <w:rsid w:val="71284B7D"/>
    <w:rsid w:val="714C43BE"/>
    <w:rsid w:val="71DD4F74"/>
    <w:rsid w:val="722A2C7D"/>
    <w:rsid w:val="72432014"/>
    <w:rsid w:val="72A4165E"/>
    <w:rsid w:val="73230E7B"/>
    <w:rsid w:val="73476453"/>
    <w:rsid w:val="73DC548E"/>
    <w:rsid w:val="742312E0"/>
    <w:rsid w:val="753720A7"/>
    <w:rsid w:val="75503E72"/>
    <w:rsid w:val="77515450"/>
    <w:rsid w:val="778A54C9"/>
    <w:rsid w:val="77A054A0"/>
    <w:rsid w:val="7A5236C2"/>
    <w:rsid w:val="7AAC4701"/>
    <w:rsid w:val="7B051307"/>
    <w:rsid w:val="7B1E21A2"/>
    <w:rsid w:val="7B7E06D8"/>
    <w:rsid w:val="7B8534EE"/>
    <w:rsid w:val="7B9A12EC"/>
    <w:rsid w:val="7CD309E1"/>
    <w:rsid w:val="7D5E798E"/>
    <w:rsid w:val="7DBC6C8D"/>
    <w:rsid w:val="7E5E3E1E"/>
    <w:rsid w:val="7E6F3DC1"/>
    <w:rsid w:val="7EE97C0D"/>
    <w:rsid w:val="7F3E6230"/>
    <w:rsid w:val="7FA53920"/>
    <w:rsid w:val="7FB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2020-05-05T08:07:00Z</dcterms:created>
  <dc:creator>dell</dc:creator>
  <cp:lastModifiedBy>dell</cp:lastModifiedBy>
  <cp:lastPrinted>2020-05-11T06:30:00Z</cp:lastPrinted>
  <dcterms:modified xsi:type="dcterms:W3CDTF">2021-05-08T07:04:20Z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